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80" w:lineRule="atLeast"/>
        <w:textAlignment w:val="center"/>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textAlignment w:val="center"/>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textAlignment w:val="center"/>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textAlignment w:val="center"/>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textAlignment w:val="center"/>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广元市产品质量监督检验所</w:t>
      </w:r>
    </w:p>
    <w:p>
      <w:pPr>
        <w:widowControl/>
        <w:shd w:val="clear" w:color="auto" w:fill="FFFFFF"/>
        <w:spacing w:line="580" w:lineRule="atLeast"/>
        <w:jc w:val="center"/>
        <w:textAlignment w:val="center"/>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2025年单位预算</w:t>
      </w:r>
    </w:p>
    <w:p>
      <w:pPr>
        <w:widowControl/>
        <w:shd w:val="clear" w:color="auto" w:fill="FFFFFF"/>
        <w:spacing w:line="580" w:lineRule="atLeast"/>
        <w:jc w:val="center"/>
        <w:rPr>
          <w:rFonts w:ascii="仿宋_GB2312" w:hAnsi="仿宋_GB2312" w:eastAsia="仿宋_GB2312" w:cs="仿宋_GB2312"/>
          <w:b/>
          <w:bCs/>
          <w:color w:val="000000" w:themeColor="text1"/>
          <w:kern w:val="0"/>
          <w:sz w:val="32"/>
          <w:szCs w:val="32"/>
          <w:highlight w:val="yellow"/>
          <w:shd w:val="clear" w:color="auto" w:fill="FFFFFF"/>
          <w14:textFill>
            <w14:solidFill>
              <w14:schemeClr w14:val="tx1"/>
            </w14:solidFill>
          </w14:textFill>
        </w:rPr>
      </w:pPr>
    </w:p>
    <w:p>
      <w:pPr>
        <w:widowControl/>
        <w:shd w:val="clear" w:color="auto" w:fill="FFFFFF"/>
        <w:spacing w:line="580" w:lineRule="atLeast"/>
        <w:jc w:val="center"/>
        <w:rPr>
          <w:rFonts w:ascii="仿宋_GB2312" w:hAnsi="仿宋_GB2312" w:eastAsia="仿宋_GB2312" w:cs="仿宋_GB2312"/>
          <w:b/>
          <w:bCs/>
          <w:color w:val="000000" w:themeColor="text1"/>
          <w:kern w:val="0"/>
          <w:sz w:val="32"/>
          <w:szCs w:val="32"/>
          <w:highlight w:val="yellow"/>
          <w:shd w:val="clear" w:color="auto" w:fill="FFFFFF"/>
          <w14:textFill>
            <w14:solidFill>
              <w14:schemeClr w14:val="tx1"/>
            </w14:solidFill>
          </w14:textFill>
        </w:rPr>
      </w:pPr>
    </w:p>
    <w:p>
      <w:pPr>
        <w:widowControl/>
        <w:shd w:val="clear" w:color="auto" w:fill="FFFFFF"/>
        <w:spacing w:line="580" w:lineRule="atLeast"/>
        <w:jc w:val="center"/>
        <w:rPr>
          <w:rFonts w:ascii="仿宋_GB2312" w:hAnsi="仿宋_GB2312" w:eastAsia="仿宋_GB2312" w:cs="仿宋_GB2312"/>
          <w:b/>
          <w:bCs/>
          <w:color w:val="000000" w:themeColor="text1"/>
          <w:kern w:val="0"/>
          <w:sz w:val="32"/>
          <w:szCs w:val="32"/>
          <w:highlight w:val="yellow"/>
          <w:shd w:val="clear" w:color="auto" w:fill="FFFFFF"/>
          <w14:textFill>
            <w14:solidFill>
              <w14:schemeClr w14:val="tx1"/>
            </w14:solidFill>
          </w14:textFill>
        </w:rPr>
      </w:pPr>
    </w:p>
    <w:p>
      <w:pPr>
        <w:widowControl/>
        <w:shd w:val="clear" w:color="auto" w:fill="FFFFFF"/>
        <w:spacing w:line="580" w:lineRule="atLeast"/>
        <w:jc w:val="center"/>
        <w:rPr>
          <w:rFonts w:ascii="仿宋_GB2312" w:hAnsi="仿宋_GB2312" w:eastAsia="仿宋_GB2312" w:cs="仿宋_GB2312"/>
          <w:b/>
          <w:bCs/>
          <w:color w:val="000000" w:themeColor="text1"/>
          <w:kern w:val="0"/>
          <w:sz w:val="32"/>
          <w:szCs w:val="32"/>
          <w:highlight w:val="yellow"/>
          <w:shd w:val="clear" w:color="auto" w:fill="FFFFFF"/>
          <w14:textFill>
            <w14:solidFill>
              <w14:schemeClr w14:val="tx1"/>
            </w14:solidFill>
          </w14:textFill>
        </w:rPr>
      </w:pPr>
    </w:p>
    <w:p>
      <w:pPr>
        <w:widowControl/>
        <w:shd w:val="clear" w:color="auto" w:fill="FFFFFF"/>
        <w:spacing w:line="580" w:lineRule="atLeast"/>
        <w:jc w:val="center"/>
        <w:rPr>
          <w:rFonts w:ascii="仿宋_GB2312" w:hAnsi="仿宋_GB2312" w:eastAsia="仿宋_GB2312" w:cs="仿宋_GB2312"/>
          <w:b/>
          <w:bCs/>
          <w:color w:val="000000" w:themeColor="text1"/>
          <w:kern w:val="0"/>
          <w:sz w:val="32"/>
          <w:szCs w:val="32"/>
          <w:highlight w:val="yellow"/>
          <w:shd w:val="clear" w:color="auto" w:fill="FFFFFF"/>
          <w14:textFill>
            <w14:solidFill>
              <w14:schemeClr w14:val="tx1"/>
            </w14:solidFill>
          </w14:textFill>
        </w:rPr>
      </w:pPr>
    </w:p>
    <w:p>
      <w:pPr>
        <w:widowControl/>
        <w:shd w:val="clear" w:color="auto" w:fill="FFFFFF"/>
        <w:spacing w:line="580" w:lineRule="atLeast"/>
        <w:jc w:val="center"/>
        <w:rPr>
          <w:rFonts w:ascii="仿宋_GB2312" w:hAnsi="仿宋_GB2312" w:eastAsia="仿宋_GB2312" w:cs="仿宋_GB2312"/>
          <w:b/>
          <w:bCs/>
          <w:color w:val="000000" w:themeColor="text1"/>
          <w:kern w:val="0"/>
          <w:sz w:val="32"/>
          <w:szCs w:val="32"/>
          <w:highlight w:val="yellow"/>
          <w:shd w:val="clear" w:color="auto" w:fill="FFFFFF"/>
          <w14:textFill>
            <w14:solidFill>
              <w14:schemeClr w14:val="tx1"/>
            </w14:solidFill>
          </w14:textFill>
        </w:rPr>
      </w:pPr>
    </w:p>
    <w:p>
      <w:pPr>
        <w:widowControl/>
        <w:shd w:val="clear" w:color="auto" w:fill="FFFFFF"/>
        <w:spacing w:line="580" w:lineRule="atLeast"/>
        <w:rPr>
          <w:rFonts w:ascii="仿宋_GB2312" w:hAnsi="仿宋_GB2312" w:eastAsia="仿宋_GB2312" w:cs="仿宋_GB2312"/>
          <w:b/>
          <w:bCs/>
          <w:color w:val="000000" w:themeColor="text1"/>
          <w:kern w:val="0"/>
          <w:sz w:val="32"/>
          <w:szCs w:val="32"/>
          <w:highlight w:val="yellow"/>
          <w:shd w:val="clear" w:color="auto" w:fill="FFFFFF"/>
          <w14:textFill>
            <w14:solidFill>
              <w14:schemeClr w14:val="tx1"/>
            </w14:solidFill>
          </w14:textFill>
        </w:rPr>
      </w:pPr>
    </w:p>
    <w:p>
      <w:pPr>
        <w:widowControl/>
        <w:shd w:val="clear" w:color="auto" w:fill="FFFFFF"/>
        <w:spacing w:line="580" w:lineRule="atLeast"/>
        <w:jc w:val="center"/>
        <w:rPr>
          <w:rFonts w:ascii="仿宋_GB2312" w:hAnsi="仿宋_GB2312" w:eastAsia="仿宋_GB2312" w:cs="仿宋_GB2312"/>
          <w:b/>
          <w:bCs/>
          <w:color w:val="000000" w:themeColor="text1"/>
          <w:kern w:val="0"/>
          <w:sz w:val="32"/>
          <w:szCs w:val="32"/>
          <w:highlight w:val="yellow"/>
          <w:shd w:val="clear" w:color="auto" w:fill="FFFFFF"/>
          <w14:textFill>
            <w14:solidFill>
              <w14:schemeClr w14:val="tx1"/>
            </w14:solidFill>
          </w14:textFill>
        </w:rPr>
      </w:pPr>
    </w:p>
    <w:p>
      <w:pPr>
        <w:widowControl/>
        <w:shd w:val="clear" w:color="auto" w:fill="FFFFFF"/>
        <w:spacing w:line="580" w:lineRule="atLeast"/>
        <w:jc w:val="center"/>
        <w:rPr>
          <w:rFonts w:ascii="仿宋_GB2312" w:hAnsi="仿宋_GB2312" w:eastAsia="仿宋_GB2312" w:cs="仿宋_GB2312"/>
          <w:b/>
          <w:bCs/>
          <w:color w:val="000000" w:themeColor="text1"/>
          <w:kern w:val="0"/>
          <w:sz w:val="32"/>
          <w:szCs w:val="32"/>
          <w:highlight w:val="yellow"/>
          <w:shd w:val="clear" w:color="auto" w:fill="FFFFFF"/>
          <w14:textFill>
            <w14:solidFill>
              <w14:schemeClr w14:val="tx1"/>
            </w14:solidFill>
          </w14:textFill>
        </w:rPr>
        <w:sectPr>
          <w:footerReference r:id="rId3" w:type="default"/>
          <w:pgSz w:w="11906" w:h="16838"/>
          <w:pgMar w:top="2098" w:right="1474" w:bottom="1984" w:left="1587" w:header="720" w:footer="1559" w:gutter="0"/>
          <w:pgNumType w:fmt="decimal"/>
          <w:cols w:space="0" w:num="1"/>
          <w:docGrid w:type="lines" w:linePitch="312" w:charSpace="0"/>
        </w:sectPr>
      </w:pPr>
    </w:p>
    <w:p>
      <w:pPr>
        <w:jc w:val="center"/>
        <w:rPr>
          <w:rFonts w:ascii="黑体" w:hAnsi="黑体" w:eastAsia="黑体" w:cs="黑体"/>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目   录</w:t>
      </w:r>
      <w:bookmarkStart w:id="0" w:name="_Toc190079336"/>
    </w:p>
    <w:p>
      <w:pPr>
        <w:numPr>
          <w:ilvl w:val="0"/>
          <w:numId w:val="1"/>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广元市产品质量监督检验所概况</w:t>
      </w:r>
    </w:p>
    <w:p>
      <w:pPr>
        <w:numPr>
          <w:ilvl w:val="0"/>
          <w:numId w:val="2"/>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基本职能及主要工作 </w:t>
      </w:r>
    </w:p>
    <w:p>
      <w:pPr>
        <w:numPr>
          <w:ilvl w:val="0"/>
          <w:numId w:val="2"/>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部门预算单位构成</w:t>
      </w:r>
    </w:p>
    <w:p>
      <w:pPr>
        <w:numPr>
          <w:ilvl w:val="0"/>
          <w:numId w:val="1"/>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广元市产品质量监督检验所2025年单位预算情况说明 </w:t>
      </w:r>
    </w:p>
    <w:p>
      <w:pPr>
        <w:numPr>
          <w:ilvl w:val="0"/>
          <w:numId w:val="1"/>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名词解释</w:t>
      </w:r>
    </w:p>
    <w:p>
      <w:pPr>
        <w:numPr>
          <w:ilvl w:val="0"/>
          <w:numId w:val="1"/>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广元市产品质量监督检验所2025年单位预算表</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部门收支总表 </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部门收入总表</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部门支出总表 </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财政拨款收支预算总表</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财政拨款支出预算表（部门经济分类科目）</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一般公共预算支出预算表</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一般公共预算基本支出预算表 </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一般公共预算项目支出预算表 </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一般公共预算“三公”经费支出预算表 </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政府性基金预算支出预算表 </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政府性基金预算“三公”经费支出预算表 </w:t>
      </w:r>
    </w:p>
    <w:p>
      <w:pPr>
        <w:numPr>
          <w:ilvl w:val="0"/>
          <w:numId w:val="3"/>
        </w:numPr>
        <w:rPr>
          <w:rFonts w:ascii="黑体" w:hAnsi="黑体" w:eastAsia="黑体" w:cs="黑体"/>
          <w:color w:val="000000"/>
          <w:kern w:val="0"/>
          <w:sz w:val="30"/>
          <w:szCs w:val="30"/>
          <w:shd w:val="clear" w:color="auto" w:fill="FFFFFF"/>
        </w:rPr>
      </w:pPr>
      <w:r>
        <w:rPr>
          <w:rFonts w:hint="eastAsia" w:ascii="黑体" w:hAnsi="黑体" w:eastAsia="黑体" w:cs="黑体"/>
          <w:color w:val="000000"/>
          <w:kern w:val="0"/>
          <w:sz w:val="30"/>
          <w:szCs w:val="30"/>
          <w:shd w:val="clear" w:color="auto" w:fill="FFFFFF"/>
        </w:rPr>
        <w:t xml:space="preserve">国有资本经营预算支出预算表 </w:t>
      </w:r>
    </w:p>
    <w:p>
      <w:pPr>
        <w:numPr>
          <w:ilvl w:val="0"/>
          <w:numId w:val="3"/>
        </w:numPr>
        <w:rPr>
          <w:rFonts w:ascii="黑体" w:hAnsi="黑体" w:eastAsia="黑体" w:cs="黑体"/>
          <w:color w:val="000000"/>
          <w:kern w:val="0"/>
          <w:sz w:val="32"/>
          <w:szCs w:val="32"/>
          <w:shd w:val="clear" w:color="auto" w:fill="FFFFFF"/>
        </w:rPr>
      </w:pPr>
      <w:r>
        <w:rPr>
          <w:rFonts w:hint="eastAsia" w:ascii="黑体" w:hAnsi="黑体" w:eastAsia="黑体" w:cs="黑体"/>
          <w:color w:val="000000"/>
          <w:kern w:val="0"/>
          <w:sz w:val="30"/>
          <w:szCs w:val="30"/>
          <w:shd w:val="clear" w:color="auto" w:fill="FFFFFF"/>
        </w:rPr>
        <w:t>部门预算项目支出绩效目标表</w:t>
      </w:r>
      <w:r>
        <w:rPr>
          <w:rFonts w:hint="eastAsia" w:ascii="黑体" w:hAnsi="黑体" w:eastAsia="黑体" w:cs="黑体"/>
          <w:color w:val="000000"/>
          <w:kern w:val="0"/>
          <w:sz w:val="32"/>
          <w:szCs w:val="32"/>
          <w:shd w:val="clear" w:color="auto" w:fill="FFFFFF"/>
        </w:rPr>
        <w:t xml:space="preserve"> </w:t>
      </w:r>
    </w:p>
    <w:p>
      <w:pPr>
        <w:ind w:left="160"/>
        <w:rPr>
          <w:rFonts w:ascii="宋体" w:hAnsi="宋体" w:cs="宋体"/>
          <w:b/>
          <w:color w:val="000000"/>
          <w:sz w:val="28"/>
          <w:szCs w:val="28"/>
          <w:shd w:val="clear" w:color="auto" w:fill="FFFFFF"/>
        </w:rPr>
      </w:pPr>
      <w:r>
        <w:rPr>
          <w:rFonts w:hint="eastAsia" w:ascii="黑体" w:hAnsi="黑体" w:eastAsia="黑体" w:cs="黑体"/>
          <w:color w:val="000000"/>
          <w:kern w:val="0"/>
          <w:sz w:val="32"/>
          <w:szCs w:val="32"/>
          <w:shd w:val="clear" w:color="auto" w:fill="FFFFFF"/>
        </w:rPr>
        <w:t xml:space="preserve"> </w:t>
      </w:r>
      <w:r>
        <w:rPr>
          <w:rFonts w:hint="eastAsia" w:ascii="宋体" w:hAnsi="宋体" w:cs="宋体"/>
          <w:b/>
          <w:color w:val="000000"/>
          <w:sz w:val="28"/>
          <w:szCs w:val="28"/>
          <w:shd w:val="clear" w:color="auto" w:fill="FFFFFF"/>
        </w:rPr>
        <w:t xml:space="preserve"> </w:t>
      </w: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黑体" w:hAnsi="黑体" w:eastAsia="黑体" w:cs="黑体"/>
          <w:sz w:val="32"/>
          <w:szCs w:val="32"/>
        </w:rPr>
      </w:pPr>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第一部分 广元市产品质量监督检验所</w:t>
      </w:r>
      <w:r>
        <w:rPr>
          <w:rFonts w:hint="eastAsia" w:ascii="方正小标宋简体" w:hAnsi="方正小标宋简体" w:eastAsia="方正小标宋简体" w:cs="方正小标宋简体"/>
          <w:sz w:val="44"/>
          <w:szCs w:val="44"/>
        </w:rPr>
        <w:t>概况</w:t>
      </w:r>
      <w:bookmarkEnd w:id="0"/>
    </w:p>
    <w:p>
      <w:pPr>
        <w:spacing w:line="576" w:lineRule="exact"/>
        <w:ind w:firstLine="640" w:firstLineChars="200"/>
        <w:rPr>
          <w:rFonts w:ascii="黑体" w:hAnsi="黑体" w:eastAsia="黑体" w:cs="黑体"/>
          <w:sz w:val="32"/>
          <w:szCs w:val="32"/>
        </w:rPr>
        <w:sectPr>
          <w:type w:val="continuous"/>
          <w:pgSz w:w="11906" w:h="16838"/>
          <w:pgMar w:top="2098" w:right="1474" w:bottom="1984" w:left="1587" w:header="720" w:footer="1559" w:gutter="0"/>
          <w:pgNumType w:fmt="decimal"/>
          <w:cols w:space="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color w:val="auto"/>
          <w:sz w:val="32"/>
          <w:szCs w:val="32"/>
          <w:lang w:val="en-US" w:eastAsia="zh-CN"/>
        </w:rPr>
      </w:pPr>
      <w:bookmarkStart w:id="1" w:name="_Toc190079337"/>
      <w:r>
        <w:rPr>
          <w:rFonts w:hint="eastAsia" w:ascii="仿宋_GB2312" w:hAnsi="仿宋_GB2312" w:eastAsia="仿宋_GB2312" w:cs="仿宋_GB2312"/>
          <w:b/>
          <w:bCs/>
          <w:color w:val="auto"/>
          <w:sz w:val="32"/>
          <w:szCs w:val="32"/>
          <w:lang w:val="en-US" w:eastAsia="zh-CN"/>
        </w:rPr>
        <w:t>一、基本职能及主要工作</w:t>
      </w:r>
      <w:bookmarkEnd w:id="1"/>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（一）广元市产品质量监督检验所职能简介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负责全市范围内有关产（商）品质量的监督检验、委托检验、质量仲裁检验工作；承担上级下达的各项监督检查、专项检查和定期监督检验工作；承接各类委托检验；依法受理各种仲裁检验；指导帮助企业建立完善质量检验管理体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（二）广元市产品质量监督检验所2025年重点工作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1．抓好各级各项监督抽查工作，强化职责工作。一是完成省级监督抽查工作。二是完成市级监督抽查工作。三是完成县级监督抽查工作。四是完成食品抽查任务。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2．强化能力提升，结合市委市政府重点工作，拓展铝、家居等产业检验能力，推进四川省铝产品质量监督检验中心建设，为我市工业产品安全提供技术支撑。</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3.抓好技术服务和经营性收入。依托技术和资质优势，全方位开展技术服务和委托检验工作。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4．强化作风纪律建设。开展常态化正风肃纪，确保质检风清气正，各项工作稳步推进。</w:t>
      </w: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color w:val="auto"/>
          <w:sz w:val="32"/>
          <w:szCs w:val="32"/>
          <w:lang w:val="en-US" w:eastAsia="zh-CN"/>
        </w:rPr>
      </w:pPr>
      <w:bookmarkStart w:id="2" w:name="_Toc190079338"/>
      <w:r>
        <w:rPr>
          <w:rFonts w:hint="eastAsia" w:ascii="仿宋_GB2312" w:hAnsi="仿宋_GB2312" w:eastAsia="仿宋_GB2312" w:cs="仿宋_GB2312"/>
          <w:b/>
          <w:bCs/>
          <w:color w:val="auto"/>
          <w:sz w:val="32"/>
          <w:szCs w:val="32"/>
          <w:lang w:val="en-US" w:eastAsia="zh-CN"/>
        </w:rPr>
        <w:t>二、部门预算单位构成</w:t>
      </w:r>
      <w:bookmarkEnd w:id="2"/>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我单位为广元市市场监督管理局的下属二级预算单位，本单位无下属机构，设有内设机构6个。</w:t>
      </w:r>
    </w:p>
    <w:p>
      <w:pPr>
        <w:widowControl/>
        <w:shd w:val="clear" w:color="auto" w:fill="FFFFFF"/>
        <w:spacing w:line="580" w:lineRule="atLeast"/>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sectPr>
          <w:pgSz w:w="11906" w:h="16838"/>
          <w:pgMar w:top="2098" w:right="1474" w:bottom="1984" w:left="1587" w:header="720" w:footer="1559" w:gutter="0"/>
          <w:pgNumType w:fmt="decimal"/>
          <w:cols w:space="0" w:num="1"/>
          <w:docGrid w:type="lines" w:linePitch="312" w:charSpace="0"/>
        </w:sectPr>
      </w:pPr>
    </w:p>
    <w:p>
      <w:pPr>
        <w:widowControl/>
        <w:shd w:val="clear" w:color="auto" w:fill="FFFFFF"/>
        <w:spacing w:line="580" w:lineRule="atLeast"/>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bookmarkStart w:id="3" w:name="_Toc190079339"/>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第二部分广元市产品质量监督检验所</w:t>
      </w:r>
      <w:bookmarkEnd w:id="3"/>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bookmarkStart w:id="4" w:name="_Toc190079340"/>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2025年单位预算情况说明</w:t>
      </w:r>
      <w:bookmarkEnd w:id="4"/>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sectPr>
          <w:pgSz w:w="11906" w:h="16838"/>
          <w:pgMar w:top="2098" w:right="1474" w:bottom="1984" w:left="1587" w:header="720" w:footer="1559" w:gutter="0"/>
          <w:pgNumType w:fmt="decimal"/>
          <w:cols w:space="0" w:num="1"/>
          <w:docGrid w:type="lines" w:linePitch="312" w:charSpace="0"/>
        </w:sectPr>
      </w:pPr>
    </w:p>
    <w:p>
      <w:pPr>
        <w:spacing w:line="576" w:lineRule="exact"/>
        <w:rPr>
          <w:rFonts w:ascii="黑体" w:hAnsi="黑体" w:eastAsia="黑体" w:cs="黑体"/>
          <w:sz w:val="32"/>
          <w:szCs w:val="32"/>
        </w:rPr>
      </w:pPr>
    </w:p>
    <w:p>
      <w:pPr>
        <w:spacing w:line="576" w:lineRule="exact"/>
        <w:ind w:firstLine="640" w:firstLineChars="200"/>
        <w:outlineLvl w:val="1"/>
        <w:rPr>
          <w:rFonts w:ascii="黑体" w:hAnsi="黑体" w:eastAsia="黑体" w:cs="黑体"/>
          <w:color w:val="000000" w:themeColor="text1"/>
          <w:sz w:val="32"/>
          <w:szCs w:val="32"/>
          <w14:textFill>
            <w14:solidFill>
              <w14:schemeClr w14:val="tx1"/>
            </w14:solidFill>
          </w14:textFill>
        </w:rPr>
      </w:pPr>
      <w:bookmarkStart w:id="5" w:name="_Toc190079341"/>
      <w:r>
        <w:rPr>
          <w:rFonts w:hint="eastAsia" w:ascii="黑体" w:hAnsi="黑体" w:eastAsia="黑体" w:cs="黑体"/>
          <w:color w:val="000000" w:themeColor="text1"/>
          <w:sz w:val="32"/>
          <w:szCs w:val="32"/>
          <w14:textFill>
            <w14:solidFill>
              <w14:schemeClr w14:val="tx1"/>
            </w14:solidFill>
          </w14:textFill>
        </w:rPr>
        <w:t>一、收支预算情况说明</w:t>
      </w:r>
      <w:bookmarkEnd w:id="5"/>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综合预算的原则，广元市产品质量监督检验所所有收入和支出均纳入部门预算管理。收入包括：一般公共预算拨款收入；支出包括：一般公共服务支出、社会保障和就业支出、卫生健康支出、住房保障支出。广元市产品质量监督检验所2025年收支预算总数542.74万元,比2024年收支预算总数增加21.09万元，主要原因是人员经费增加。</w:t>
      </w:r>
    </w:p>
    <w:p>
      <w:pPr>
        <w:spacing w:line="576"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（一）收入预算情况</w:t>
      </w:r>
    </w:p>
    <w:p>
      <w:pPr>
        <w:spacing w:line="576"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广元市产品质量监督检验所2025年收入预算542.74万元，其中：一般公共预算拨款收入542.74万元，占100%。</w:t>
      </w:r>
    </w:p>
    <w:p>
      <w:pPr>
        <w:spacing w:line="576"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（二）支出预算情况</w:t>
      </w:r>
    </w:p>
    <w:p>
      <w:pPr>
        <w:spacing w:line="576"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广元市产品质量监督检验所2025年支出预算542.74万元，其中：基本支出456.74万元，占84.15%；项目支出86</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万元，占15.85%。</w:t>
      </w:r>
    </w:p>
    <w:p>
      <w:pPr>
        <w:spacing w:line="576" w:lineRule="exact"/>
        <w:ind w:firstLine="640" w:firstLineChars="200"/>
        <w:outlineLvl w:val="1"/>
        <w:rPr>
          <w:rFonts w:ascii="黑体" w:hAnsi="黑体" w:eastAsia="黑体" w:cs="黑体"/>
          <w:color w:val="000000" w:themeColor="text1"/>
          <w:sz w:val="32"/>
          <w:szCs w:val="32"/>
          <w14:textFill>
            <w14:solidFill>
              <w14:schemeClr w14:val="tx1"/>
            </w14:solidFill>
          </w14:textFill>
        </w:rPr>
      </w:pPr>
      <w:bookmarkStart w:id="6" w:name="_Toc190079342"/>
      <w:r>
        <w:rPr>
          <w:rFonts w:hint="eastAsia" w:ascii="黑体" w:hAnsi="黑体" w:eastAsia="黑体" w:cs="黑体"/>
          <w:color w:val="000000" w:themeColor="text1"/>
          <w:sz w:val="32"/>
          <w:szCs w:val="32"/>
          <w14:textFill>
            <w14:solidFill>
              <w14:schemeClr w14:val="tx1"/>
            </w14:solidFill>
          </w14:textFill>
        </w:rPr>
        <w:t>二、财政拨款收支预算情况说明</w:t>
      </w:r>
      <w:bookmarkEnd w:id="6"/>
    </w:p>
    <w:p>
      <w:pPr>
        <w:spacing w:line="576"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广元市产品质量监督检验所2025年财政拨款收支预算总数542.74万元,比2024年财政拨款收支预算总数增加21.09万元，主要原因是人员经费增加。</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收入包括：本年一般公共预算拨款收入542.74万元；支出包括：一般公共服务支出431.37万元、社会保障和就业支出63.13万元、卫生健康支出13.24万元、住房保障支出35</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万元。</w:t>
      </w:r>
    </w:p>
    <w:p>
      <w:pPr>
        <w:spacing w:line="576" w:lineRule="exact"/>
        <w:ind w:firstLine="640" w:firstLineChars="200"/>
        <w:outlineLvl w:val="1"/>
        <w:rPr>
          <w:rFonts w:ascii="黑体" w:hAnsi="黑体" w:eastAsia="黑体" w:cs="黑体"/>
          <w:color w:val="000000" w:themeColor="text1"/>
          <w:sz w:val="32"/>
          <w:szCs w:val="32"/>
          <w14:textFill>
            <w14:solidFill>
              <w14:schemeClr w14:val="tx1"/>
            </w14:solidFill>
          </w14:textFill>
        </w:rPr>
      </w:pPr>
      <w:bookmarkStart w:id="7" w:name="_Toc190079343"/>
      <w:r>
        <w:rPr>
          <w:rFonts w:hint="eastAsia" w:ascii="黑体" w:hAnsi="黑体" w:eastAsia="黑体" w:cs="黑体"/>
          <w:color w:val="000000" w:themeColor="text1"/>
          <w:sz w:val="32"/>
          <w:szCs w:val="32"/>
          <w14:textFill>
            <w14:solidFill>
              <w14:schemeClr w14:val="tx1"/>
            </w14:solidFill>
          </w14:textFill>
        </w:rPr>
        <w:t>三、一般公共预算当年拨款情况说明</w:t>
      </w:r>
      <w:bookmarkEnd w:id="7"/>
    </w:p>
    <w:p>
      <w:pPr>
        <w:spacing w:line="576"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（一）一般公共预算当年拨款规模变化情况</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广元市产品质量监督检验所2025年一般公共预算当年拨款542.74万元，比2024年预算数增加21.09万元，主要原因是人员经费增加。</w:t>
      </w:r>
    </w:p>
    <w:p>
      <w:pPr>
        <w:spacing w:line="576"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（二）一般公共预算当年拨款结构情况</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一般公共服务支出431.37万元，占79.48%；社会保障和就业支出63.13万元，占11.63%；卫生健康支出13.24万元，占2.44%；住房保障支出35万元，占6.45%。</w:t>
      </w:r>
    </w:p>
    <w:p>
      <w:pPr>
        <w:spacing w:line="576"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（三）一般公共预算当年拨款具体使用情况</w:t>
      </w:r>
    </w:p>
    <w:p>
      <w:pPr>
        <w:pBdr>
          <w:bottom w:val="single" w:color="FFFFFF" w:sz="8" w:space="31"/>
        </w:pBdr>
        <w:shd w:val="clear" w:color="auto" w:fill="FFFFFF"/>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sz w:val="32"/>
          <w:szCs w:val="32"/>
        </w:rPr>
        <w:t>1.</w:t>
      </w:r>
      <w:r>
        <w:rPr>
          <w:rFonts w:hint="eastAsia" w:ascii="仿宋_GB2312" w:hAnsi="仿宋_GB2312" w:eastAsia="仿宋_GB2312" w:cs="仿宋_GB2312"/>
          <w:color w:val="000000" w:themeColor="text1"/>
          <w:sz w:val="32"/>
          <w:szCs w:val="32"/>
          <w14:textFill>
            <w14:solidFill>
              <w14:schemeClr w14:val="tx1"/>
            </w14:solidFill>
          </w14:textFill>
        </w:rPr>
        <w:t>一般公共服务支出（类）市场监督管理事务（款） 事业运行（项）2025预算数345.37万元，主要用于事业单位基本工资、津补贴、奖金、</w:t>
      </w:r>
      <w:r>
        <w:rPr>
          <w:rFonts w:ascii="仿宋_GB2312" w:hAnsi="仿宋_GB2312" w:eastAsia="仿宋_GB2312" w:cs="仿宋_GB2312"/>
          <w:color w:val="000000" w:themeColor="text1"/>
          <w:sz w:val="32"/>
          <w:szCs w:val="32"/>
          <w14:textFill>
            <w14:solidFill>
              <w14:schemeClr w14:val="tx1"/>
            </w14:solidFill>
          </w14:textFill>
        </w:rPr>
        <w:t>绩效工资</w:t>
      </w:r>
      <w:r>
        <w:rPr>
          <w:rFonts w:hint="eastAsia" w:ascii="仿宋_GB2312" w:hAnsi="仿宋_GB2312" w:eastAsia="仿宋_GB2312" w:cs="仿宋_GB2312"/>
          <w:color w:val="000000" w:themeColor="text1"/>
          <w:sz w:val="32"/>
          <w:szCs w:val="32"/>
          <w14:textFill>
            <w14:solidFill>
              <w14:schemeClr w14:val="tx1"/>
            </w14:solidFill>
          </w14:textFill>
        </w:rPr>
        <w:t>、其他社会保障缴费、生活补助、办公费、印刷费、咨询费、手续费、水费、电费、邮电费、物业管理费、差旅费、维修（护）费、培训费、公务接待费、劳务费、委托业务费、工会经费、福利费、公务用车运行维护费、其他交通费、其他商品和服务支出等支出。</w:t>
      </w:r>
    </w:p>
    <w:p>
      <w:pPr>
        <w:pBdr>
          <w:bottom w:val="single" w:color="FFFFFF" w:sz="8" w:space="31"/>
        </w:pBdr>
        <w:shd w:val="clear" w:color="auto" w:fill="FFFFFF"/>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2．一般公共服务支出（类）市场监督管理事务（款） 其他市场监督管理事务（项）2025年预算数86</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.00</w:t>
      </w:r>
      <w:r>
        <w:rPr>
          <w:rFonts w:hint="eastAsia" w:ascii="仿宋_GB2312" w:hAnsi="仿宋_GB2312" w:eastAsia="仿宋_GB2312" w:cs="仿宋_GB2312"/>
          <w:color w:val="000000" w:themeColor="text1"/>
          <w:sz w:val="32"/>
          <w:szCs w:val="32"/>
          <w14:textFill>
            <w14:solidFill>
              <w14:schemeClr w14:val="tx1"/>
            </w14:solidFill>
          </w14:textFill>
        </w:rPr>
        <w:t>万元，主要用于设备购置、产品质量抽检及相关实验室的运行。</w:t>
      </w:r>
    </w:p>
    <w:p>
      <w:pPr>
        <w:pBdr>
          <w:bottom w:val="single" w:color="FFFFFF" w:sz="8" w:space="31"/>
        </w:pBdr>
        <w:shd w:val="clear" w:color="auto" w:fill="FFFFFF"/>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3.社会保障和就业（类）行政事业单位养老支出（款）机关事业单位基本养老保险缴费支出（项）2025年预算数为41.04万元，主要用于：实施养老保险制度由单位缴纳的基本养老保险支出。</w:t>
      </w:r>
    </w:p>
    <w:p>
      <w:pPr>
        <w:pBdr>
          <w:bottom w:val="single" w:color="FFFFFF" w:sz="8" w:space="31"/>
        </w:pBdr>
        <w:shd w:val="clear" w:color="auto" w:fill="FFFFFF"/>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4.社会保障和就业（类）行政事业单位养老支出（款）机关事业单位职业年金缴费支出（项）2025年预算数为20.52万元，主要用于：实施养老保险制度由单位缴纳的职业年金支出。</w:t>
      </w:r>
    </w:p>
    <w:p>
      <w:pPr>
        <w:pBdr>
          <w:bottom w:val="single" w:color="FFFFFF" w:sz="8" w:space="31"/>
        </w:pBdr>
        <w:shd w:val="clear" w:color="auto" w:fill="FFFFFF"/>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5.社会保障和就业（类）行政事业单位养老支出（款）其他社会保障和就业支出（项）2025年预算数为1.57万元，主要用于：实施养老保险制度由单位缴纳的失业保险及工伤保险支出。</w:t>
      </w:r>
    </w:p>
    <w:p>
      <w:pPr>
        <w:pBdr>
          <w:bottom w:val="single" w:color="FFFFFF" w:sz="8" w:space="31"/>
        </w:pBdr>
        <w:shd w:val="clear" w:color="auto" w:fill="FFFFFF"/>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6.卫生健康（类）行政事业单位医疗（款）事业单位医疗（项）2025年预算数为13.24万元，主要用于：按规定由单位缴纳的基本医疗保险支出。</w:t>
      </w:r>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7.住房保障（类）住房改革支出（款）住房公积金（项）2025年预算数为35</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.00</w:t>
      </w:r>
      <w:r>
        <w:rPr>
          <w:rFonts w:hint="eastAsia" w:ascii="仿宋_GB2312" w:hAnsi="仿宋_GB2312" w:eastAsia="仿宋_GB2312" w:cs="仿宋_GB2312"/>
          <w:color w:val="000000" w:themeColor="text1"/>
          <w:sz w:val="32"/>
          <w:szCs w:val="32"/>
          <w14:textFill>
            <w14:solidFill>
              <w14:schemeClr w14:val="tx1"/>
            </w14:solidFill>
          </w14:textFill>
        </w:rPr>
        <w:t>万元，主要用于：单位按规定为职工缴纳的住房公积金支出。</w:t>
      </w:r>
      <w:bookmarkStart w:id="8" w:name="_Toc190079344"/>
    </w:p>
    <w:p>
      <w:pPr>
        <w:pBdr>
          <w:bottom w:val="single" w:color="FFFFFF" w:sz="8" w:space="31"/>
        </w:pBdr>
        <w:shd w:val="clear" w:color="auto" w:fill="FFFFFF"/>
        <w:spacing w:line="58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四、一般公共预算基本支出情况说明</w:t>
      </w:r>
      <w:bookmarkEnd w:id="8"/>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广元市产品质量监督检验所2025年一般公共预算基本支出456.74万元，其中：</w:t>
      </w:r>
    </w:p>
    <w:p>
      <w:p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人员经费400.54万元，主要包括：基本工资、津贴补贴、奖金、绩效工资、 机关事业单位基本养老保险缴费</w:t>
      </w:r>
      <w:r>
        <w:rPr>
          <w:rFonts w:hint="eastAsia" w:ascii="仿宋_GB2312" w:hAnsi="仿宋_GB2312" w:eastAsia="仿宋_GB2312" w:cs="仿宋_GB2312"/>
          <w:sz w:val="32"/>
          <w:szCs w:val="32"/>
          <w:lang w:eastAsia="zh-CN"/>
        </w:rPr>
        <w:t>、职业年金缴费、</w:t>
      </w:r>
      <w:r>
        <w:rPr>
          <w:rFonts w:hint="eastAsia" w:ascii="仿宋_GB2312" w:hAnsi="仿宋_GB2312" w:eastAsia="仿宋_GB2312" w:cs="仿宋_GB2312"/>
          <w:sz w:val="32"/>
          <w:szCs w:val="32"/>
        </w:rPr>
        <w:t>职工基本医疗保险缴费、住房公积金等支出。</w:t>
      </w:r>
      <w:r>
        <w:rPr>
          <w:rFonts w:hint="eastAsia" w:ascii="仿宋_GB2312" w:hAnsi="仿宋_GB2312" w:eastAsia="仿宋_GB2312" w:cs="仿宋_GB2312"/>
          <w:sz w:val="32"/>
          <w:szCs w:val="32"/>
          <w:lang w:val="en-US" w:eastAsia="zh-CN"/>
        </w:rPr>
        <w:t xml:space="preserve">    </w:t>
      </w:r>
    </w:p>
    <w:p>
      <w:p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用经费56.19万元，主要包括：办公费、印刷费、手续费、水费、邮电费、物业管理费、差旅费、维修（护）费、培训费、公务接待费、劳务费、委托业务费、工会经费、福利费、公务用车运行维护费、其他交通费用、其他商品和服务支出等支出。</w:t>
      </w:r>
      <w:bookmarkStart w:id="9" w:name="_Toc190079345"/>
    </w:p>
    <w:p>
      <w:pPr>
        <w:numPr>
          <w:ilvl w:val="0"/>
          <w:numId w:val="4"/>
        </w:numPr>
        <w:pBdr>
          <w:bottom w:val="single" w:color="FFFFFF" w:sz="8" w:space="31"/>
        </w:pBdr>
        <w:shd w:val="clear" w:color="auto" w:fill="FFFFFF"/>
        <w:spacing w:line="580" w:lineRule="exact"/>
        <w:ind w:firstLine="640" w:firstLineChars="200"/>
        <w:jc w:val="both"/>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“三公”经费财政拨款预算安排情况说明</w:t>
      </w:r>
      <w:bookmarkEnd w:id="9"/>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广元市产品质量监督检验所2025年“三公”经费财政拨款预算数2.88万元，其中：</w:t>
      </w:r>
      <w:r>
        <w:rPr>
          <w:rFonts w:hint="eastAsia" w:ascii="仿宋_GB2312" w:hAnsi="仿宋_GB2312" w:eastAsia="仿宋_GB2312" w:cs="仿宋_GB2312"/>
          <w:color w:val="000000" w:themeColor="text1"/>
          <w:sz w:val="32"/>
          <w:szCs w:val="32"/>
          <w14:textFill>
            <w14:solidFill>
              <w14:schemeClr w14:val="tx1"/>
            </w14:solidFill>
          </w14:textFill>
        </w:rPr>
        <w:t>公务接待费0.88万元，公务用车购置及运行维护费2万元，因公出国（境）经费0万元。</w:t>
      </w:r>
    </w:p>
    <w:p>
      <w:pPr>
        <w:numPr>
          <w:ilvl w:val="0"/>
          <w:numId w:val="5"/>
        </w:numPr>
        <w:pBdr>
          <w:bottom w:val="single" w:color="FFFFFF" w:sz="8" w:space="31"/>
        </w:pBdr>
        <w:shd w:val="clear" w:color="auto" w:fill="FFFFFF"/>
        <w:spacing w:line="580" w:lineRule="exact"/>
        <w:ind w:firstLine="640" w:firstLineChars="2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公务接待费</w:t>
      </w:r>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公务接待费与2024年预算相比持平。</w:t>
      </w:r>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2025年公务接待费计划用于执行接待考察调研、检查指导等公务活动开支的交通费、住宿费、用餐费等。</w:t>
      </w:r>
    </w:p>
    <w:p>
      <w:pPr>
        <w:numPr>
          <w:ilvl w:val="0"/>
          <w:numId w:val="0"/>
        </w:numPr>
        <w:pBdr>
          <w:bottom w:val="single" w:color="FFFFFF" w:sz="8" w:space="31"/>
        </w:pBdr>
        <w:shd w:val="clear" w:color="auto" w:fill="FFFFFF"/>
        <w:spacing w:line="580" w:lineRule="exact"/>
        <w:ind w:firstLine="640" w:firstLineChars="200"/>
        <w:jc w:val="both"/>
        <w:rPr>
          <w:rFonts w:hint="eastAsia" w:ascii="楷体_GB2312" w:hAnsi="楷体_GB2312" w:eastAsia="楷体_GB2312" w:cs="楷体_GB2312"/>
          <w:sz w:val="32"/>
          <w:szCs w:val="32"/>
        </w:rPr>
      </w:pPr>
      <w:r>
        <w:rPr>
          <w:rFonts w:hint="eastAsia" w:ascii="仿宋_GB2312" w:hAnsi="仿宋_GB2312" w:eastAsia="仿宋_GB2312" w:cs="仿宋_GB2312"/>
          <w:sz w:val="32"/>
          <w:szCs w:val="32"/>
          <w:lang w:val="en-US" w:eastAsia="zh-CN"/>
        </w:rPr>
        <w:t>(二)</w:t>
      </w:r>
      <w:r>
        <w:rPr>
          <w:rFonts w:hint="eastAsia" w:ascii="楷体_GB2312" w:hAnsi="楷体_GB2312" w:eastAsia="楷体_GB2312" w:cs="楷体_GB2312"/>
          <w:sz w:val="32"/>
          <w:szCs w:val="32"/>
        </w:rPr>
        <w:t>公务用车购置及运行维护费</w:t>
      </w:r>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公务用车购置及运行维护费与2024年预算相比下降3万元，主要原因是压减三公经费。</w:t>
      </w:r>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单位现有公务用车1辆，其中：轿车1辆。</w:t>
      </w:r>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2025年未安排公务用车购置费。</w:t>
      </w:r>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宋体" w:eastAsia="仿宋_GB2312" w:cs="宋体"/>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sz w:val="32"/>
          <w:szCs w:val="32"/>
        </w:rPr>
        <w:t>2025年安排公务用车运行维护费2万元，用于1辆公务用车燃油、过路（桥）、维修、保险等方面支出，主要保障</w:t>
      </w:r>
      <w:r>
        <w:rPr>
          <w:rFonts w:hint="eastAsia" w:ascii="仿宋_GB2312" w:hAnsi="仿宋_GB2312" w:eastAsia="仿宋_GB2312" w:cs="仿宋_GB2312"/>
          <w:color w:val="000000" w:themeColor="text1"/>
          <w:sz w:val="32"/>
          <w:szCs w:val="32"/>
          <w14:textFill>
            <w14:solidFill>
              <w14:schemeClr w14:val="tx1"/>
            </w14:solidFill>
          </w14:textFill>
        </w:rPr>
        <w:t>主要保障</w:t>
      </w:r>
      <w:r>
        <w:rPr>
          <w:rFonts w:hint="eastAsia" w:ascii="仿宋_GB2312" w:hAnsi="宋体" w:eastAsia="仿宋_GB2312" w:cs="宋体"/>
          <w:color w:val="000000" w:themeColor="text1"/>
          <w:kern w:val="0"/>
          <w:sz w:val="32"/>
          <w:szCs w:val="32"/>
          <w:shd w:val="clear" w:color="auto" w:fill="FFFFFF"/>
          <w14:textFill>
            <w14:solidFill>
              <w14:schemeClr w14:val="tx1"/>
            </w14:solidFill>
          </w14:textFill>
        </w:rPr>
        <w:t>业务使用。</w:t>
      </w:r>
    </w:p>
    <w:p>
      <w:pPr>
        <w:numPr>
          <w:ilvl w:val="0"/>
          <w:numId w:val="0"/>
        </w:numPr>
        <w:pBdr>
          <w:bottom w:val="single" w:color="FFFFFF" w:sz="8" w:space="31"/>
        </w:pBdr>
        <w:shd w:val="clear" w:color="auto" w:fill="FFFFFF"/>
        <w:spacing w:line="580" w:lineRule="exact"/>
        <w:ind w:firstLine="640" w:firstLineChars="200"/>
        <w:jc w:val="both"/>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sz w:val="32"/>
          <w:szCs w:val="32"/>
        </w:rPr>
        <w:t>三）因公出国（境）经费</w:t>
      </w:r>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因公出国（境）经费与2024年预算相比持平。</w:t>
      </w:r>
      <w:bookmarkStart w:id="10" w:name="_Toc190079346"/>
    </w:p>
    <w:p>
      <w:pPr>
        <w:numPr>
          <w:ilvl w:val="0"/>
          <w:numId w:val="0"/>
        </w:numPr>
        <w:pBdr>
          <w:bottom w:val="single" w:color="FFFFFF" w:sz="8" w:space="31"/>
        </w:pBdr>
        <w:shd w:val="clear" w:color="auto" w:fill="FFFFFF"/>
        <w:spacing w:line="580" w:lineRule="exact"/>
        <w:ind w:firstLine="640" w:firstLineChars="200"/>
        <w:jc w:val="both"/>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六、政府性基金预算支出情况说明</w:t>
      </w:r>
      <w:bookmarkEnd w:id="10"/>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广元市产品质量监督检验所2025年无政府性基金预算拨款安排的支出。</w:t>
      </w:r>
      <w:bookmarkStart w:id="11" w:name="_Toc190079347"/>
    </w:p>
    <w:p>
      <w:pPr>
        <w:numPr>
          <w:ilvl w:val="0"/>
          <w:numId w:val="0"/>
        </w:numPr>
        <w:pBdr>
          <w:bottom w:val="single" w:color="FFFFFF" w:sz="8" w:space="31"/>
        </w:pBdr>
        <w:shd w:val="clear" w:color="auto" w:fill="FFFFFF"/>
        <w:spacing w:line="580" w:lineRule="exact"/>
        <w:ind w:firstLine="640" w:firstLineChars="200"/>
        <w:jc w:val="both"/>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七、国有资本经营预算支出情况说明</w:t>
      </w:r>
      <w:bookmarkEnd w:id="11"/>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广元市产品质量监督检验所2025年无国有资本经营预算拨款安排的支出。</w:t>
      </w:r>
      <w:bookmarkStart w:id="12" w:name="_Toc190079348"/>
    </w:p>
    <w:p>
      <w:pPr>
        <w:numPr>
          <w:ilvl w:val="0"/>
          <w:numId w:val="0"/>
        </w:numPr>
        <w:pBdr>
          <w:bottom w:val="single" w:color="FFFFFF" w:sz="8" w:space="31"/>
        </w:pBdr>
        <w:shd w:val="clear" w:color="auto" w:fill="FFFFFF"/>
        <w:spacing w:line="580" w:lineRule="exact"/>
        <w:ind w:firstLine="640" w:firstLineChars="200"/>
        <w:jc w:val="both"/>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八、其他重要事项的情况说明</w:t>
      </w:r>
      <w:bookmarkEnd w:id="12"/>
    </w:p>
    <w:p>
      <w:pPr>
        <w:numPr>
          <w:ilvl w:val="0"/>
          <w:numId w:val="0"/>
        </w:numPr>
        <w:pBdr>
          <w:bottom w:val="single" w:color="FFFFFF" w:sz="8" w:space="31"/>
        </w:pBdr>
        <w:shd w:val="clear" w:color="auto" w:fill="FFFFFF"/>
        <w:spacing w:line="580" w:lineRule="exact"/>
        <w:ind w:firstLine="640" w:firstLineChars="2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（一）机关运行经费</w:t>
      </w:r>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广元市产品质量监督检验所单位为事业单位，按规定未使用机关运行的相关科目。</w:t>
      </w:r>
    </w:p>
    <w:p>
      <w:pPr>
        <w:numPr>
          <w:ilvl w:val="0"/>
          <w:numId w:val="0"/>
        </w:numPr>
        <w:pBdr>
          <w:bottom w:val="single" w:color="FFFFFF" w:sz="8" w:space="31"/>
        </w:pBdr>
        <w:shd w:val="clear" w:color="auto" w:fill="FFFFFF"/>
        <w:spacing w:line="580" w:lineRule="exact"/>
        <w:ind w:firstLine="640" w:firstLineChars="2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（二）政府采购情况</w:t>
      </w:r>
    </w:p>
    <w:p>
      <w:pPr>
        <w:numPr>
          <w:ilvl w:val="0"/>
          <w:numId w:val="0"/>
        </w:numPr>
        <w:pBdr>
          <w:bottom w:val="single" w:color="FFFFFF" w:sz="8" w:space="31"/>
        </w:pBdr>
        <w:shd w:val="clear" w:color="auto" w:fill="FFFFFF"/>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2025年，广元市产品质量监督检验所安排政府采购预算1.5万元，其中：政府采购服务预算1.5万元。</w:t>
      </w:r>
    </w:p>
    <w:p>
      <w:pPr>
        <w:numPr>
          <w:ilvl w:val="0"/>
          <w:numId w:val="0"/>
        </w:numPr>
        <w:pBdr>
          <w:bottom w:val="single" w:color="FFFFFF" w:sz="8" w:space="31"/>
        </w:pBdr>
        <w:shd w:val="clear" w:color="auto" w:fill="FFFFFF"/>
        <w:spacing w:line="580" w:lineRule="exact"/>
        <w:ind w:firstLine="640" w:firstLineChars="2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（三）国有资产占有使用情况</w:t>
      </w:r>
    </w:p>
    <w:p>
      <w:pPr>
        <w:keepNext w:val="0"/>
        <w:keepLines w:val="0"/>
        <w:pageBreakBefore w:val="0"/>
        <w:widowControl w:val="0"/>
        <w:numPr>
          <w:ilvl w:val="0"/>
          <w:numId w:val="0"/>
        </w:numPr>
        <w:pBdr>
          <w:bottom w:val="single" w:color="FFFFFF" w:sz="8" w:space="31"/>
        </w:pBdr>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截至2024年底，广元市产品质量监督检验所共有车辆1辆，其中，定向保障用车1辆。单位无价值200万元以上的大型设备。</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pBdr>
          <w:bottom w:val="single" w:color="FFFFFF" w:sz="8" w:space="31"/>
        </w:pBdr>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2025年单位预算未安排购置车辆及单位价值200万元以上大型设备。</w:t>
      </w:r>
    </w:p>
    <w:p>
      <w:pPr>
        <w:numPr>
          <w:ilvl w:val="-1"/>
          <w:numId w:val="0"/>
        </w:numPr>
        <w:pBdr>
          <w:bottom w:val="single" w:color="FFFFFF" w:sz="8" w:space="31"/>
        </w:pBdr>
        <w:shd w:val="clear" w:color="auto" w:fill="FFFFFF"/>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（四）绩效目标设置情况</w:t>
      </w:r>
    </w:p>
    <w:p>
      <w:pPr>
        <w:numPr>
          <w:ilvl w:val="-1"/>
          <w:numId w:val="0"/>
        </w:numPr>
        <w:pBdr>
          <w:bottom w:val="single" w:color="FFFFFF" w:sz="8" w:space="31"/>
        </w:pBdr>
        <w:shd w:val="clear" w:color="auto" w:fill="FFFFFF"/>
        <w:spacing w:line="580" w:lineRule="exact"/>
        <w:ind w:firstLine="640" w:firstLineChars="200"/>
        <w:jc w:val="left"/>
        <w:rPr>
          <w:rFonts w:ascii="仿宋_GB2312" w:hAnsi="仿宋_GB2312" w:eastAsia="仿宋_GB2312" w:cs="仿宋_GB2312"/>
          <w:color w:val="0070C0"/>
          <w:sz w:val="32"/>
          <w:szCs w:val="32"/>
          <w:highlight w:val="yellow"/>
        </w:rPr>
      </w:pPr>
      <w:r>
        <w:rPr>
          <w:rFonts w:hint="eastAsia" w:ascii="仿宋_GB2312" w:hAnsi="仿宋_GB2312" w:eastAsia="仿宋_GB2312" w:cs="仿宋_GB2312"/>
          <w:sz w:val="32"/>
          <w:szCs w:val="32"/>
        </w:rPr>
        <w:t>2025年广元市产品质量监督检验所开展绩效目标管理的项目11个，涉及预算542.73万元。其中：人员类项目5个，涉及预算400.54万元；运转类项目4个，涉及预算56.19万元；特定目标类项目2个，涉及预算86</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万元。</w:t>
      </w: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bookmarkStart w:id="13" w:name="_Toc190079349"/>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第三部分</w:t>
      </w:r>
      <w:r>
        <w:rPr>
          <w:rFonts w:hint="eastAsia" w:ascii="方正小标宋简体" w:hAnsi="方正小标宋简体" w:eastAsia="方正小标宋简体" w:cs="方正小标宋简体"/>
          <w:color w:val="000000" w:themeColor="text1"/>
          <w:kern w:val="0"/>
          <w:sz w:val="44"/>
          <w:szCs w:val="44"/>
          <w:shd w:val="clear" w:color="auto" w:fill="FFFFFF"/>
          <w:lang w:val="en-US" w:eastAsia="zh-CN"/>
          <w14:textFill>
            <w14:solidFill>
              <w14:schemeClr w14:val="tx1"/>
            </w14:solidFill>
          </w14:textFill>
        </w:rPr>
        <w:t xml:space="preserve">  </w:t>
      </w:r>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名词解释</w:t>
      </w:r>
      <w:bookmarkEnd w:id="13"/>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pBdr>
          <w:bottom w:val="single" w:color="FFFFFF" w:sz="8" w:space="31"/>
        </w:pBdr>
        <w:shd w:val="clear" w:color="auto" w:fill="FFFFFF"/>
        <w:spacing w:line="58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pBdr>
          <w:bottom w:val="single" w:color="FFFFFF" w:sz="8" w:space="31"/>
        </w:pBdr>
        <w:shd w:val="clear" w:color="auto" w:fill="FFFFFF"/>
        <w:spacing w:line="580" w:lineRule="exact"/>
        <w:ind w:firstLine="642" w:firstLineChars="200"/>
        <w:rPr>
          <w:rFonts w:hint="eastAsia" w:ascii="仿宋_GB2312" w:hAnsi="仿宋_GB2312" w:eastAsia="仿宋_GB2312" w:cs="仿宋_GB2312"/>
          <w:b/>
          <w:bCs/>
          <w:color w:val="000000" w:themeColor="text1"/>
          <w:sz w:val="32"/>
          <w:szCs w:val="32"/>
          <w:lang w:eastAsia="zh-CN"/>
          <w14:textFill>
            <w14:solidFill>
              <w14:schemeClr w14:val="tx1"/>
            </w14:solidFill>
          </w14:textFill>
        </w:rPr>
      </w:pPr>
    </w:p>
    <w:p>
      <w:pPr>
        <w:pBdr>
          <w:bottom w:val="single" w:color="FFFFFF" w:sz="8" w:space="31"/>
        </w:pBdr>
        <w:shd w:val="clear" w:color="auto" w:fill="FFFFFF"/>
        <w:spacing w:line="580" w:lineRule="exact"/>
        <w:ind w:firstLine="642"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一、财政拨款收入</w:t>
      </w:r>
      <w:r>
        <w:rPr>
          <w:rFonts w:hint="eastAsia" w:ascii="仿宋_GB2312" w:hAnsi="仿宋_GB2312" w:eastAsia="仿宋_GB2312" w:cs="仿宋_GB2312"/>
          <w:color w:val="000000" w:themeColor="text1"/>
          <w:sz w:val="32"/>
          <w:szCs w:val="32"/>
          <w:lang w:eastAsia="zh-CN"/>
          <w14:textFill>
            <w14:solidFill>
              <w14:schemeClr w14:val="tx1"/>
            </w14:solidFill>
          </w14:textFill>
        </w:rPr>
        <w:t>：指市财政当年安排的财政预算收入。按现行管理制度,部门预算中反映的财政拨款包括一般公共预算拨款和政府性基金预算拨款。</w:t>
      </w:r>
    </w:p>
    <w:p>
      <w:pPr>
        <w:pBdr>
          <w:bottom w:val="single" w:color="FFFFFF" w:sz="8" w:space="31"/>
        </w:pBdr>
        <w:shd w:val="clear" w:color="auto" w:fill="FFFFFF"/>
        <w:spacing w:line="580" w:lineRule="exact"/>
        <w:ind w:firstLine="642"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二、一般公共服务（类）市场监督管理事务（款）事业运行（项）：</w:t>
      </w:r>
      <w:r>
        <w:rPr>
          <w:rFonts w:hint="eastAsia" w:ascii="仿宋_GB2312" w:hAnsi="仿宋_GB2312" w:eastAsia="仿宋_GB2312" w:cs="仿宋_GB2312"/>
          <w:color w:val="000000" w:themeColor="text1"/>
          <w:sz w:val="32"/>
          <w:szCs w:val="32"/>
          <w14:textFill>
            <w14:solidFill>
              <w14:schemeClr w14:val="tx1"/>
            </w14:solidFill>
          </w14:textFill>
        </w:rPr>
        <w:t>指广元市产品质量监督检验所用于事业单位的基本支出。</w:t>
      </w:r>
    </w:p>
    <w:p>
      <w:pPr>
        <w:pBdr>
          <w:bottom w:val="single" w:color="FFFFFF" w:sz="8" w:space="31"/>
        </w:pBdr>
        <w:shd w:val="clear" w:color="auto" w:fill="FFFFFF"/>
        <w:spacing w:line="580" w:lineRule="exact"/>
        <w:ind w:firstLine="642"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三、一般公共服务（类）市场监督管理事务（款）其他市场监督管理事务支出（项）</w:t>
      </w:r>
      <w:r>
        <w:rPr>
          <w:rFonts w:hint="eastAsia" w:ascii="仿宋_GB2312" w:hAnsi="仿宋_GB2312" w:eastAsia="仿宋_GB2312" w:cs="仿宋_GB2312"/>
          <w:color w:val="000000" w:themeColor="text1"/>
          <w:sz w:val="32"/>
          <w:szCs w:val="32"/>
          <w14:textFill>
            <w14:solidFill>
              <w14:schemeClr w14:val="tx1"/>
            </w14:solidFill>
          </w14:textFill>
        </w:rPr>
        <w:t>：指广元市产品质量监督检验所用于除上述项目以外其他市场监督管理事务方面的支出。　　</w:t>
      </w:r>
    </w:p>
    <w:p>
      <w:pPr>
        <w:pBdr>
          <w:bottom w:val="single" w:color="FFFFFF" w:sz="8" w:space="31"/>
        </w:pBdr>
        <w:shd w:val="clear" w:color="auto" w:fill="FFFFFF"/>
        <w:spacing w:line="580" w:lineRule="exact"/>
        <w:ind w:firstLine="642"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四、社会保障和就业（类）行政事业单位养老支出（款）机关事业单位基本养老保险缴费支出（项）</w:t>
      </w:r>
      <w:r>
        <w:rPr>
          <w:rFonts w:hint="eastAsia" w:ascii="仿宋_GB2312" w:hAnsi="仿宋_GB2312" w:eastAsia="仿宋_GB2312" w:cs="仿宋_GB2312"/>
          <w:color w:val="000000" w:themeColor="text1"/>
          <w:sz w:val="32"/>
          <w:szCs w:val="32"/>
          <w14:textFill>
            <w14:solidFill>
              <w14:schemeClr w14:val="tx1"/>
            </w14:solidFill>
          </w14:textFill>
        </w:rPr>
        <w:t>：指实施养老保险制度由单位缴纳的养老保险的支出。</w:t>
      </w:r>
      <w:r>
        <w:rPr>
          <w:rFonts w:hint="eastAsia" w:ascii="仿宋_GB2312" w:hAnsi="仿宋_GB2312" w:eastAsia="仿宋_GB2312" w:cs="仿宋_GB2312"/>
          <w:color w:val="000000" w:themeColor="text1"/>
          <w:sz w:val="32"/>
          <w:szCs w:val="32"/>
          <w14:textFill>
            <w14:solidFill>
              <w14:schemeClr w14:val="tx1"/>
            </w14:solidFill>
          </w14:textFill>
        </w:rPr>
        <w:br w:type="textWrapping"/>
      </w:r>
      <w:r>
        <w:rPr>
          <w:rFonts w:hint="eastAsia" w:ascii="仿宋_GB2312" w:hAnsi="仿宋_GB2312" w:eastAsia="仿宋_GB2312" w:cs="仿宋_GB2312"/>
          <w:color w:val="000000" w:themeColor="text1"/>
          <w:sz w:val="32"/>
          <w:szCs w:val="32"/>
          <w14:textFill>
            <w14:solidFill>
              <w14:schemeClr w14:val="tx1"/>
            </w14:solidFill>
          </w14:textFill>
        </w:rPr>
        <w:t>　　</w:t>
      </w:r>
      <w:r>
        <w:rPr>
          <w:rFonts w:hint="eastAsia" w:ascii="仿宋_GB2312" w:hAnsi="仿宋_GB2312" w:eastAsia="仿宋_GB2312" w:cs="仿宋_GB2312"/>
          <w:b/>
          <w:bCs/>
          <w:color w:val="000000" w:themeColor="text1"/>
          <w:sz w:val="32"/>
          <w:szCs w:val="32"/>
          <w14:textFill>
            <w14:solidFill>
              <w14:schemeClr w14:val="tx1"/>
            </w14:solidFill>
          </w14:textFill>
        </w:rPr>
        <w:t>五、社会保障和就业（类）行政事业单位养老支出（款）机关事业单位职业年金缴费支出（项）</w:t>
      </w:r>
      <w:r>
        <w:rPr>
          <w:rFonts w:hint="eastAsia" w:ascii="仿宋_GB2312" w:hAnsi="仿宋_GB2312" w:eastAsia="仿宋_GB2312" w:cs="仿宋_GB2312"/>
          <w:color w:val="000000" w:themeColor="text1"/>
          <w:sz w:val="32"/>
          <w:szCs w:val="32"/>
          <w14:textFill>
            <w14:solidFill>
              <w14:schemeClr w14:val="tx1"/>
            </w14:solidFill>
          </w14:textFill>
        </w:rPr>
        <w:t>：指实施养老保险制度由单位缴纳的职业年金的支出。</w:t>
      </w:r>
    </w:p>
    <w:p>
      <w:pPr>
        <w:pBdr>
          <w:bottom w:val="single" w:color="FFFFFF" w:sz="8" w:space="31"/>
        </w:pBdr>
        <w:shd w:val="clear" w:color="auto" w:fill="FFFFFF"/>
        <w:spacing w:line="580" w:lineRule="exact"/>
        <w:ind w:firstLine="642"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六、卫生健康（类）行政事业单位医疗（款）事业单位医疗（项）：</w:t>
      </w:r>
      <w:r>
        <w:rPr>
          <w:rFonts w:hint="eastAsia" w:ascii="仿宋_GB2312" w:hAnsi="仿宋_GB2312" w:eastAsia="仿宋_GB2312" w:cs="仿宋_GB2312"/>
          <w:color w:val="000000" w:themeColor="text1"/>
          <w:sz w:val="32"/>
          <w:szCs w:val="32"/>
          <w14:textFill>
            <w14:solidFill>
              <w14:schemeClr w14:val="tx1"/>
            </w14:solidFill>
          </w14:textFill>
        </w:rPr>
        <w:t>指事业单位用于单位应缴纳基本医疗保险支出。</w:t>
      </w:r>
    </w:p>
    <w:p>
      <w:pPr>
        <w:pBdr>
          <w:bottom w:val="single" w:color="FFFFFF" w:sz="8" w:space="31"/>
        </w:pBdr>
        <w:shd w:val="clear" w:color="auto" w:fill="FFFFFF"/>
        <w:spacing w:line="580" w:lineRule="exact"/>
        <w:ind w:firstLine="642"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七、住房保障（类）住房改革支出（款）住房公积金（项）：</w:t>
      </w:r>
      <w:r>
        <w:rPr>
          <w:rFonts w:hint="eastAsia" w:ascii="仿宋_GB2312" w:hAnsi="仿宋_GB2312" w:eastAsia="仿宋_GB2312" w:cs="仿宋_GB2312"/>
          <w:color w:val="000000" w:themeColor="text1"/>
          <w:sz w:val="32"/>
          <w:szCs w:val="32"/>
          <w14:textFill>
            <w14:solidFill>
              <w14:schemeClr w14:val="tx1"/>
            </w14:solidFill>
          </w14:textFill>
        </w:rPr>
        <w:t>指按照《住房公积金管理条例》的规定，由单位及其在职职工缴存的长期住房储金。</w:t>
      </w:r>
    </w:p>
    <w:p>
      <w:pPr>
        <w:pBdr>
          <w:bottom w:val="single" w:color="FFFFFF" w:sz="8" w:space="31"/>
        </w:pBdr>
        <w:shd w:val="clear" w:color="auto" w:fill="FFFFFF"/>
        <w:spacing w:line="580" w:lineRule="exact"/>
        <w:ind w:firstLine="642"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八、基本支出：</w:t>
      </w:r>
      <w:r>
        <w:rPr>
          <w:rFonts w:hint="eastAsia" w:ascii="仿宋_GB2312" w:hAnsi="仿宋_GB2312" w:eastAsia="仿宋_GB2312" w:cs="仿宋_GB2312"/>
          <w:color w:val="000000" w:themeColor="text1"/>
          <w:sz w:val="32"/>
          <w:szCs w:val="32"/>
          <w14:textFill>
            <w14:solidFill>
              <w14:schemeClr w14:val="tx1"/>
            </w14:solidFill>
          </w14:textFill>
        </w:rPr>
        <w:t>指为保证机构正常运转，完成日常工作任务而发生的人员支出和公用支出。</w:t>
      </w:r>
      <w:r>
        <w:rPr>
          <w:rFonts w:hint="eastAsia" w:ascii="仿宋_GB2312" w:hAnsi="仿宋_GB2312" w:eastAsia="仿宋_GB2312" w:cs="仿宋_GB2312"/>
          <w:color w:val="000000" w:themeColor="text1"/>
          <w:sz w:val="32"/>
          <w:szCs w:val="32"/>
          <w14:textFill>
            <w14:solidFill>
              <w14:schemeClr w14:val="tx1"/>
            </w14:solidFill>
          </w14:textFill>
        </w:rPr>
        <w:br w:type="textWrapping"/>
      </w:r>
      <w:r>
        <w:rPr>
          <w:rFonts w:hint="eastAsia" w:ascii="仿宋_GB2312" w:hAnsi="仿宋_GB2312" w:eastAsia="仿宋_GB2312" w:cs="仿宋_GB2312"/>
          <w:color w:val="000000" w:themeColor="text1"/>
          <w:sz w:val="32"/>
          <w:szCs w:val="32"/>
          <w14:textFill>
            <w14:solidFill>
              <w14:schemeClr w14:val="tx1"/>
            </w14:solidFill>
          </w14:textFill>
        </w:rPr>
        <w:t>　</w:t>
      </w:r>
      <w:r>
        <w:rPr>
          <w:rFonts w:hint="eastAsia" w:ascii="仿宋_GB2312" w:hAnsi="仿宋_GB2312" w:eastAsia="仿宋_GB2312" w:cs="仿宋_GB2312"/>
          <w:b/>
          <w:bCs/>
          <w:color w:val="000000" w:themeColor="text1"/>
          <w:sz w:val="32"/>
          <w:szCs w:val="32"/>
          <w14:textFill>
            <w14:solidFill>
              <w14:schemeClr w14:val="tx1"/>
            </w14:solidFill>
          </w14:textFill>
        </w:rPr>
        <w:t>　九、项目支出</w:t>
      </w:r>
      <w:r>
        <w:rPr>
          <w:rFonts w:hint="eastAsia" w:ascii="仿宋_GB2312" w:hAnsi="仿宋_GB2312" w:eastAsia="仿宋_GB2312" w:cs="仿宋_GB2312"/>
          <w:color w:val="000000" w:themeColor="text1"/>
          <w:sz w:val="32"/>
          <w:szCs w:val="32"/>
          <w14:textFill>
            <w14:solidFill>
              <w14:schemeClr w14:val="tx1"/>
            </w14:solidFill>
          </w14:textFill>
        </w:rPr>
        <w:t>：指在基本支出之外为完成特定行政任务和事业发展目标所发生的支出。</w:t>
      </w:r>
    </w:p>
    <w:p>
      <w:pPr>
        <w:pBdr>
          <w:bottom w:val="single" w:color="FFFFFF" w:sz="8" w:space="31"/>
        </w:pBdr>
        <w:shd w:val="clear" w:color="auto" w:fill="FFFFFF"/>
        <w:spacing w:line="580" w:lineRule="exact"/>
        <w:ind w:firstLine="642"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十、 “三公”经费</w:t>
      </w:r>
      <w:r>
        <w:rPr>
          <w:rFonts w:hint="eastAsia" w:ascii="仿宋_GB2312" w:hAnsi="仿宋_GB2312" w:eastAsia="仿宋_GB2312" w:cs="仿宋_GB2312"/>
          <w:color w:val="000000" w:themeColor="text1"/>
          <w:sz w:val="32"/>
          <w:szCs w:val="32"/>
          <w14:textFill>
            <w14:solidFill>
              <w14:schemeClr w14:val="tx1"/>
            </w14:solidFill>
          </w14:textFill>
        </w:rPr>
        <w:t>：纳入单位预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76" w:lineRule="exact"/>
        <w:ind w:firstLine="642" w:firstLineChars="200"/>
        <w:rPr>
          <w:rFonts w:ascii="仿宋_GB2312" w:hAnsi="仿宋_GB2312" w:eastAsia="仿宋_GB2312" w:cs="仿宋_GB2312"/>
          <w:b/>
          <w:bCs/>
          <w:sz w:val="32"/>
          <w:szCs w:val="32"/>
        </w:rPr>
      </w:pPr>
    </w:p>
    <w:p>
      <w:pPr>
        <w:spacing w:line="576" w:lineRule="exact"/>
        <w:ind w:firstLine="642" w:firstLineChars="200"/>
        <w:rPr>
          <w:rFonts w:ascii="仿宋_GB2312" w:hAnsi="仿宋_GB2312" w:eastAsia="仿宋_GB2312" w:cs="仿宋_GB2312"/>
          <w:b/>
          <w:bCs/>
          <w:sz w:val="32"/>
          <w:szCs w:val="32"/>
        </w:rPr>
      </w:pPr>
    </w:p>
    <w:p>
      <w:pPr>
        <w:spacing w:line="576" w:lineRule="exact"/>
        <w:ind w:firstLine="642" w:firstLineChars="200"/>
        <w:rPr>
          <w:rFonts w:ascii="仿宋_GB2312" w:hAnsi="仿宋_GB2312" w:eastAsia="仿宋_GB2312" w:cs="仿宋_GB2312"/>
          <w:b/>
          <w:bCs/>
          <w:sz w:val="32"/>
          <w:szCs w:val="32"/>
        </w:rPr>
      </w:pPr>
    </w:p>
    <w:p>
      <w:pPr>
        <w:spacing w:line="576" w:lineRule="exact"/>
        <w:ind w:firstLine="642" w:firstLineChars="200"/>
        <w:rPr>
          <w:rFonts w:ascii="仿宋_GB2312" w:hAnsi="仿宋_GB2312" w:eastAsia="仿宋_GB2312" w:cs="仿宋_GB2312"/>
          <w:b/>
          <w:bCs/>
          <w:sz w:val="32"/>
          <w:szCs w:val="32"/>
        </w:rPr>
      </w:pPr>
    </w:p>
    <w:p>
      <w:pPr>
        <w:spacing w:line="576" w:lineRule="exact"/>
        <w:ind w:firstLine="642" w:firstLineChars="200"/>
        <w:rPr>
          <w:rFonts w:ascii="仿宋_GB2312" w:hAnsi="仿宋_GB2312" w:eastAsia="仿宋_GB2312" w:cs="仿宋_GB2312"/>
          <w:b/>
          <w:bCs/>
          <w:sz w:val="32"/>
          <w:szCs w:val="32"/>
        </w:rPr>
      </w:pPr>
    </w:p>
    <w:p>
      <w:pPr>
        <w:spacing w:line="576" w:lineRule="exact"/>
        <w:ind w:firstLine="642" w:firstLineChars="200"/>
        <w:rPr>
          <w:rFonts w:ascii="仿宋_GB2312" w:hAnsi="仿宋_GB2312" w:eastAsia="仿宋_GB2312" w:cs="仿宋_GB2312"/>
          <w:b/>
          <w:bCs/>
          <w:sz w:val="32"/>
          <w:szCs w:val="32"/>
        </w:rPr>
      </w:pPr>
    </w:p>
    <w:p>
      <w:pPr>
        <w:spacing w:line="576" w:lineRule="exact"/>
        <w:ind w:firstLine="642" w:firstLineChars="200"/>
        <w:rPr>
          <w:rFonts w:ascii="仿宋_GB2312" w:hAnsi="仿宋_GB2312" w:eastAsia="仿宋_GB2312" w:cs="仿宋_GB2312"/>
          <w:b/>
          <w:bCs/>
          <w:sz w:val="32"/>
          <w:szCs w:val="32"/>
        </w:rPr>
      </w:pPr>
    </w:p>
    <w:p>
      <w:pPr>
        <w:spacing w:line="576" w:lineRule="exact"/>
        <w:ind w:firstLine="642" w:firstLineChars="200"/>
        <w:rPr>
          <w:rFonts w:ascii="仿宋_GB2312" w:hAnsi="仿宋_GB2312" w:eastAsia="仿宋_GB2312" w:cs="仿宋_GB2312"/>
          <w:b/>
          <w:bCs/>
          <w:sz w:val="32"/>
          <w:szCs w:val="32"/>
        </w:rPr>
      </w:pPr>
    </w:p>
    <w:p>
      <w:pPr>
        <w:spacing w:line="576" w:lineRule="exact"/>
        <w:ind w:firstLine="642" w:firstLineChars="200"/>
        <w:rPr>
          <w:rFonts w:ascii="仿宋_GB2312" w:hAnsi="仿宋_GB2312" w:eastAsia="仿宋_GB2312" w:cs="仿宋_GB2312"/>
          <w:b/>
          <w:bCs/>
          <w:sz w:val="32"/>
          <w:szCs w:val="32"/>
        </w:rPr>
      </w:pPr>
    </w:p>
    <w:p>
      <w:pPr>
        <w:spacing w:line="576" w:lineRule="exact"/>
        <w:ind w:firstLine="642" w:firstLineChars="200"/>
        <w:rPr>
          <w:rFonts w:ascii="仿宋_GB2312" w:hAnsi="仿宋_GB2312" w:eastAsia="仿宋_GB2312" w:cs="仿宋_GB2312"/>
          <w:b/>
          <w:bCs/>
          <w:sz w:val="32"/>
          <w:szCs w:val="32"/>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bookmarkStart w:id="14" w:name="_Toc190079350"/>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第四部分广元市产品质量监督检验所</w:t>
      </w:r>
      <w:bookmarkEnd w:id="14"/>
    </w:p>
    <w:p>
      <w:pPr>
        <w:widowControl/>
        <w:shd w:val="clear" w:color="auto" w:fill="FFFFFF"/>
        <w:spacing w:line="580" w:lineRule="atLeast"/>
        <w:jc w:val="center"/>
        <w:textAlignment w:val="center"/>
        <w:outlineLvl w:val="0"/>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bookmarkStart w:id="15" w:name="_Toc190079351"/>
      <w:r>
        <w:rPr>
          <w:rFonts w:hint="eastAsia"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t>2025年单位预算表</w:t>
      </w:r>
      <w:bookmarkEnd w:id="15"/>
    </w:p>
    <w:p>
      <w:pPr>
        <w:widowControl/>
        <w:shd w:val="clear" w:color="auto" w:fill="FFFFFF"/>
        <w:spacing w:line="580" w:lineRule="atLeast"/>
        <w:rPr>
          <w:rFonts w:ascii="方正小标宋简体" w:hAnsi="方正小标宋简体" w:eastAsia="方正小标宋简体" w:cs="方正小标宋简体"/>
          <w:color w:val="000000" w:themeColor="text1"/>
          <w:kern w:val="0"/>
          <w:sz w:val="44"/>
          <w:szCs w:val="44"/>
          <w:shd w:val="clear" w:color="auto" w:fill="FFFFFF"/>
          <w14:textFill>
            <w14:solidFill>
              <w14:schemeClr w14:val="tx1"/>
            </w14:solidFill>
          </w14:textFill>
        </w:rPr>
      </w:pPr>
    </w:p>
    <w:p>
      <w:pPr>
        <w:spacing w:line="576" w:lineRule="exact"/>
        <w:ind w:firstLine="640" w:firstLineChars="200"/>
        <w:rPr>
          <w:rFonts w:ascii="黑体" w:hAnsi="黑体" w:eastAsia="黑体" w:cs="黑体"/>
          <w:sz w:val="32"/>
          <w:szCs w:val="32"/>
        </w:rPr>
      </w:pPr>
    </w:p>
    <w:p>
      <w:pPr>
        <w:spacing w:line="576" w:lineRule="exact"/>
        <w:ind w:firstLine="640" w:firstLineChars="200"/>
        <w:rPr>
          <w:rFonts w:ascii="黑体" w:hAnsi="黑体" w:eastAsia="黑体" w:cs="黑体"/>
          <w:sz w:val="32"/>
          <w:szCs w:val="32"/>
        </w:rPr>
        <w:sectPr>
          <w:pgSz w:w="11906" w:h="16838"/>
          <w:pgMar w:top="2098" w:right="1474" w:bottom="1984" w:left="1587" w:header="720" w:footer="1559" w:gutter="0"/>
          <w:pgNumType w:fmt="decimal"/>
          <w:cols w:space="0" w:num="1"/>
          <w:docGrid w:type="lines" w:linePitch="312" w:charSpace="0"/>
        </w:sectPr>
      </w:pPr>
    </w:p>
    <w:tbl>
      <w:tblPr>
        <w:tblStyle w:val="13"/>
        <w:tblW w:w="12800" w:type="dxa"/>
        <w:tblInd w:w="96" w:type="dxa"/>
        <w:tblLayout w:type="autofit"/>
        <w:tblCellMar>
          <w:top w:w="0" w:type="dxa"/>
          <w:left w:w="108" w:type="dxa"/>
          <w:bottom w:w="0" w:type="dxa"/>
          <w:right w:w="108" w:type="dxa"/>
        </w:tblCellMar>
      </w:tblPr>
      <w:tblGrid>
        <w:gridCol w:w="4604"/>
        <w:gridCol w:w="1796"/>
        <w:gridCol w:w="4604"/>
        <w:gridCol w:w="1796"/>
      </w:tblGrid>
      <w:tr>
        <w:tblPrEx>
          <w:tblCellMar>
            <w:top w:w="0" w:type="dxa"/>
            <w:left w:w="108" w:type="dxa"/>
            <w:bottom w:w="0" w:type="dxa"/>
            <w:right w:w="108" w:type="dxa"/>
          </w:tblCellMar>
        </w:tblPrEx>
        <w:trPr>
          <w:trHeight w:val="500" w:hRule="atLeast"/>
        </w:trPr>
        <w:tc>
          <w:tcPr>
            <w:tcW w:w="4604" w:type="dxa"/>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left"/>
              <w:textAlignment w:val="center"/>
              <w:rPr>
                <w:rFonts w:ascii="方正黑体简体" w:hAnsi="方正黑体简体" w:eastAsia="方正黑体简体" w:cs="方正黑体简体"/>
                <w:color w:val="000000"/>
                <w:sz w:val="24"/>
              </w:rPr>
            </w:pPr>
            <w:r>
              <w:rPr>
                <w:rFonts w:ascii="方正黑体简体" w:hAnsi="方正黑体简体" w:eastAsia="方正黑体简体" w:cs="方正黑体简体"/>
                <w:color w:val="000000"/>
                <w:kern w:val="0"/>
                <w:sz w:val="24"/>
              </w:rPr>
              <w:t>附表1</w:t>
            </w:r>
          </w:p>
        </w:tc>
        <w:tc>
          <w:tcPr>
            <w:tcW w:w="1796" w:type="dxa"/>
            <w:tcBorders>
              <w:top w:val="nil"/>
              <w:left w:val="nil"/>
              <w:bottom w:val="nil"/>
              <w:right w:val="nil"/>
            </w:tcBorders>
            <w:shd w:val="clear" w:color="auto" w:fill="auto"/>
            <w:noWrap/>
            <w:vAlign w:val="center"/>
          </w:tcPr>
          <w:p>
            <w:pPr>
              <w:rPr>
                <w:rFonts w:ascii="方正黑体简体" w:hAnsi="方正黑体简体" w:eastAsia="方正黑体简体" w:cs="方正黑体简体"/>
                <w:color w:val="000000"/>
                <w:sz w:val="24"/>
              </w:rPr>
            </w:pPr>
          </w:p>
        </w:tc>
        <w:tc>
          <w:tcPr>
            <w:tcW w:w="4604" w:type="dxa"/>
            <w:tcBorders>
              <w:top w:val="single" w:color="FFFFFF" w:sz="4" w:space="0"/>
              <w:left w:val="single" w:color="FFFFFF" w:sz="4" w:space="0"/>
              <w:bottom w:val="single" w:color="FFFFFF" w:sz="4" w:space="0"/>
              <w:right w:val="single" w:color="FFFFFF" w:sz="4" w:space="0"/>
            </w:tcBorders>
            <w:shd w:val="clear" w:color="auto" w:fill="auto"/>
            <w:noWrap/>
            <w:vAlign w:val="center"/>
          </w:tcPr>
          <w:p>
            <w:pPr>
              <w:rPr>
                <w:rFonts w:ascii="方正黑体简体" w:hAnsi="方正黑体简体" w:eastAsia="方正黑体简体" w:cs="方正黑体简体"/>
                <w:color w:val="000000"/>
                <w:sz w:val="24"/>
              </w:rPr>
            </w:pPr>
          </w:p>
        </w:tc>
        <w:tc>
          <w:tcPr>
            <w:tcW w:w="1796" w:type="dxa"/>
            <w:tcBorders>
              <w:top w:val="single" w:color="FFFFFF" w:sz="4" w:space="0"/>
              <w:left w:val="single" w:color="FFFFFF" w:sz="4" w:space="0"/>
              <w:bottom w:val="single" w:color="FFFFFF" w:sz="4" w:space="0"/>
              <w:right w:val="single" w:color="FFFFFF" w:sz="4" w:space="0"/>
            </w:tcBorders>
            <w:shd w:val="clear" w:color="auto" w:fill="auto"/>
            <w:noWrap/>
            <w:vAlign w:val="center"/>
          </w:tcPr>
          <w:p>
            <w:pPr>
              <w:rPr>
                <w:rFonts w:ascii="方正黑体简体" w:hAnsi="方正黑体简体" w:eastAsia="方正黑体简体" w:cs="方正黑体简体"/>
                <w:color w:val="000000"/>
                <w:sz w:val="24"/>
              </w:rPr>
            </w:pPr>
          </w:p>
        </w:tc>
      </w:tr>
      <w:tr>
        <w:tblPrEx>
          <w:tblCellMar>
            <w:top w:w="0" w:type="dxa"/>
            <w:left w:w="108" w:type="dxa"/>
            <w:bottom w:w="0" w:type="dxa"/>
            <w:right w:w="108" w:type="dxa"/>
          </w:tblCellMar>
        </w:tblPrEx>
        <w:trPr>
          <w:trHeight w:val="456" w:hRule="atLeast"/>
        </w:trPr>
        <w:tc>
          <w:tcPr>
            <w:tcW w:w="0" w:type="auto"/>
            <w:gridSpan w:val="4"/>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center"/>
              <w:textAlignment w:val="center"/>
              <w:rPr>
                <w:rFonts w:ascii="黑体" w:hAnsi="宋体" w:eastAsia="黑体" w:cs="黑体"/>
                <w:b/>
                <w:bCs/>
                <w:color w:val="000000"/>
                <w:sz w:val="32"/>
                <w:szCs w:val="32"/>
              </w:rPr>
            </w:pPr>
            <w:r>
              <w:rPr>
                <w:rFonts w:hint="eastAsia" w:ascii="黑体" w:hAnsi="宋体" w:eastAsia="黑体" w:cs="黑体"/>
                <w:b/>
                <w:bCs/>
                <w:color w:val="000000"/>
                <w:kern w:val="0"/>
                <w:sz w:val="32"/>
                <w:szCs w:val="32"/>
              </w:rPr>
              <w:t>部门收支总表</w:t>
            </w:r>
          </w:p>
        </w:tc>
      </w:tr>
      <w:tr>
        <w:tblPrEx>
          <w:tblCellMar>
            <w:top w:w="0" w:type="dxa"/>
            <w:left w:w="108" w:type="dxa"/>
            <w:bottom w:w="0" w:type="dxa"/>
            <w:right w:w="108" w:type="dxa"/>
          </w:tblCellMar>
        </w:tblPrEx>
        <w:trPr>
          <w:trHeight w:val="391" w:hRule="atLeast"/>
        </w:trPr>
        <w:tc>
          <w:tcPr>
            <w:tcW w:w="0" w:type="auto"/>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0" w:type="auto"/>
            <w:tcBorders>
              <w:top w:val="nil"/>
              <w:left w:val="nil"/>
              <w:bottom w:val="nil"/>
              <w:right w:val="nil"/>
            </w:tcBorders>
            <w:shd w:val="clear" w:color="auto" w:fill="auto"/>
            <w:noWrap/>
            <w:vAlign w:val="center"/>
          </w:tcPr>
          <w:p>
            <w:pPr>
              <w:rPr>
                <w:rFonts w:ascii="宋体" w:hAnsi="宋体" w:cs="宋体"/>
                <w:color w:val="000000"/>
                <w:sz w:val="22"/>
                <w:szCs w:val="22"/>
              </w:rPr>
            </w:pPr>
          </w:p>
        </w:tc>
        <w:tc>
          <w:tcPr>
            <w:tcW w:w="4604" w:type="dxa"/>
            <w:tcBorders>
              <w:top w:val="nil"/>
              <w:left w:val="nil"/>
              <w:bottom w:val="nil"/>
              <w:right w:val="nil"/>
            </w:tcBorders>
            <w:shd w:val="clear" w:color="auto" w:fill="auto"/>
            <w:vAlign w:val="center"/>
          </w:tcPr>
          <w:p>
            <w:pPr>
              <w:rPr>
                <w:rFonts w:ascii="黑体" w:hAnsi="黑体" w:eastAsia="黑体" w:cs="黑体"/>
                <w:color w:val="000000"/>
                <w:sz w:val="18"/>
                <w:szCs w:val="18"/>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widowControl/>
              <w:jc w:val="center"/>
              <w:textAlignment w:val="center"/>
              <w:rPr>
                <w:rFonts w:ascii="宋体" w:hAnsi="宋体" w:cs="宋体"/>
                <w:color w:val="000000"/>
                <w:sz w:val="22"/>
                <w:szCs w:val="22"/>
              </w:rPr>
            </w:pPr>
            <w:r>
              <w:rPr>
                <w:rFonts w:ascii="宋体" w:hAnsi="宋体" w:cs="宋体"/>
                <w:color w:val="000000"/>
                <w:kern w:val="0"/>
                <w:sz w:val="22"/>
                <w:szCs w:val="22"/>
              </w:rPr>
              <w:t>金额单位：万元</w:t>
            </w:r>
          </w:p>
        </w:tc>
      </w:tr>
      <w:tr>
        <w:tblPrEx>
          <w:tblCellMar>
            <w:top w:w="0" w:type="dxa"/>
            <w:left w:w="108" w:type="dxa"/>
            <w:bottom w:w="0" w:type="dxa"/>
            <w:right w:w="108" w:type="dxa"/>
          </w:tblCellMar>
        </w:tblPrEx>
        <w:trPr>
          <w:trHeight w:val="5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收    入</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支    出</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预算数</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xml:space="preserve">一、一般公共预算拨款收入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431.37</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xml:space="preserve">二、政府性基金预算拨款收入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xml:space="preserve">三、国有资本经营预算拨款收入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xml:space="preserve">四、事业收入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xml:space="preserve">五、事业单位经营收入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xml:space="preserve">六、其他收入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六、科学技术支出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七、文化旅游体育与传媒支出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八、社会保障和就业支出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63.13</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九、社会保险基金支出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13.24</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十一、节能环保支出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十二、城乡社区支出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十三、农林水支出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十四、交通运输支出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十五、资源勘探工业信息等支出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十六、商业服务业等支出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十七、金融支出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十八、援助其他地区支出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十九、自然资源海洋气象等支出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二十、住房保障支出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35.00</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二十一、粮油物资储备支出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二十二、国有资本经营预算支出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二十三、灾害防治及应急管理支出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二十四、其他支出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二十五、债务还本支出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二十六、债务付息支出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二十七、债务发行费用支出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color w:val="000000"/>
                <w:sz w:val="22"/>
                <w:szCs w:val="22"/>
              </w:rPr>
            </w:pP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二十八、抗疫特别国债安排的支出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ascii="Arial" w:hAnsi="Arial" w:cs="Arial"/>
                <w:b/>
                <w:bCs/>
                <w:color w:val="000000"/>
                <w:sz w:val="22"/>
                <w:szCs w:val="22"/>
              </w:rPr>
              <w:t>本 年 收 入 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ascii="Arial" w:hAnsi="Arial" w:cs="Arial"/>
                <w:b/>
                <w:bCs/>
                <w:color w:val="000000"/>
                <w:sz w:val="22"/>
                <w:szCs w:val="22"/>
              </w:rPr>
              <w:t>本 年 支 出 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542.74</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七、上年结转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收  入  总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支  出  总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542.74</w:t>
            </w:r>
          </w:p>
        </w:tc>
      </w:tr>
      <w:tr>
        <w:tblPrEx>
          <w:tblCellMar>
            <w:top w:w="0" w:type="dxa"/>
            <w:left w:w="108" w:type="dxa"/>
            <w:bottom w:w="0" w:type="dxa"/>
            <w:right w:w="108" w:type="dxa"/>
          </w:tblCellMar>
        </w:tblPrEx>
        <w:trPr>
          <w:trHeight w:val="520" w:hRule="atLeast"/>
        </w:trPr>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sz w:val="22"/>
                <w:szCs w:val="22"/>
              </w:rPr>
            </w:pPr>
            <w:r>
              <w:rPr>
                <w:rFonts w:ascii="Arial" w:hAnsi="Arial" w:cs="Arial"/>
                <w:b/>
                <w:bCs/>
                <w:color w:val="000000"/>
                <w:sz w:val="22"/>
                <w:szCs w:val="22"/>
              </w:rPr>
              <w:t>本 年 收 入 合 计</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b/>
                <w:bCs/>
                <w:color w:val="000000"/>
                <w:sz w:val="22"/>
                <w:szCs w:val="22"/>
              </w:rPr>
            </w:pPr>
            <w:r>
              <w:rPr>
                <w:rFonts w:hint="eastAsia"/>
                <w:b/>
                <w:bCs/>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ascii="Arial" w:hAnsi="Arial" w:cs="Arial"/>
                <w:b/>
                <w:bCs/>
                <w:color w:val="000000"/>
                <w:sz w:val="22"/>
                <w:szCs w:val="22"/>
              </w:rPr>
              <w:t>本 年 支 出 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542.74</w:t>
            </w:r>
          </w:p>
        </w:tc>
      </w:tr>
    </w:tbl>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eastAsia="zh-CN"/>
        </w:rPr>
        <w:t>附表</w:t>
      </w:r>
      <w:r>
        <w:rPr>
          <w:rFonts w:hint="eastAsia" w:ascii="仿宋_GB2312" w:hAnsi="仿宋_GB2312" w:eastAsia="仿宋_GB2312" w:cs="仿宋_GB2312"/>
          <w:b/>
          <w:bCs/>
          <w:sz w:val="24"/>
          <w:szCs w:val="24"/>
          <w:lang w:val="en-US" w:eastAsia="zh-CN"/>
        </w:rPr>
        <w:t>2</w:t>
      </w:r>
    </w:p>
    <w:tbl>
      <w:tblPr>
        <w:tblStyle w:val="13"/>
        <w:tblW w:w="14970" w:type="dxa"/>
        <w:tblInd w:w="96" w:type="dxa"/>
        <w:tblLayout w:type="autofit"/>
        <w:tblCellMar>
          <w:top w:w="0" w:type="dxa"/>
          <w:left w:w="108" w:type="dxa"/>
          <w:bottom w:w="0" w:type="dxa"/>
          <w:right w:w="108" w:type="dxa"/>
        </w:tblCellMar>
      </w:tblPr>
      <w:tblGrid>
        <w:gridCol w:w="634"/>
        <w:gridCol w:w="879"/>
        <w:gridCol w:w="673"/>
        <w:gridCol w:w="898"/>
        <w:gridCol w:w="316"/>
        <w:gridCol w:w="307"/>
        <w:gridCol w:w="788"/>
        <w:gridCol w:w="167"/>
        <w:gridCol w:w="27"/>
        <w:gridCol w:w="840"/>
        <w:gridCol w:w="1682"/>
        <w:gridCol w:w="1146"/>
        <w:gridCol w:w="108"/>
        <w:gridCol w:w="347"/>
        <w:gridCol w:w="427"/>
        <w:gridCol w:w="809"/>
        <w:gridCol w:w="20"/>
        <w:gridCol w:w="98"/>
        <w:gridCol w:w="236"/>
        <w:gridCol w:w="558"/>
        <w:gridCol w:w="526"/>
        <w:gridCol w:w="326"/>
        <w:gridCol w:w="196"/>
        <w:gridCol w:w="266"/>
        <w:gridCol w:w="262"/>
        <w:gridCol w:w="11"/>
        <w:gridCol w:w="154"/>
        <w:gridCol w:w="602"/>
        <w:gridCol w:w="265"/>
        <w:gridCol w:w="529"/>
        <w:gridCol w:w="179"/>
        <w:gridCol w:w="777"/>
      </w:tblGrid>
      <w:tr>
        <w:tblPrEx>
          <w:tblCellMar>
            <w:top w:w="0" w:type="dxa"/>
            <w:left w:w="108" w:type="dxa"/>
            <w:bottom w:w="0" w:type="dxa"/>
            <w:right w:w="108" w:type="dxa"/>
          </w:tblCellMar>
        </w:tblPrEx>
        <w:trPr>
          <w:trHeight w:val="456" w:hRule="atLeast"/>
        </w:trPr>
        <w:tc>
          <w:tcPr>
            <w:tcW w:w="14970" w:type="dxa"/>
            <w:gridSpan w:val="32"/>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center"/>
              <w:textAlignment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部门收入总表</w:t>
            </w:r>
          </w:p>
        </w:tc>
      </w:tr>
      <w:tr>
        <w:tblPrEx>
          <w:tblCellMar>
            <w:top w:w="0" w:type="dxa"/>
            <w:left w:w="108" w:type="dxa"/>
            <w:bottom w:w="0" w:type="dxa"/>
            <w:right w:w="108" w:type="dxa"/>
          </w:tblCellMar>
        </w:tblPrEx>
        <w:trPr>
          <w:gridAfter w:val="3"/>
          <w:wAfter w:w="1491" w:type="dxa"/>
          <w:trHeight w:val="391" w:hRule="atLeast"/>
        </w:trPr>
        <w:tc>
          <w:tcPr>
            <w:tcW w:w="3624" w:type="dxa"/>
            <w:gridSpan w:val="6"/>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themeColor="text1"/>
                <w:sz w:val="22"/>
                <w:szCs w:val="22"/>
                <w14:textFill>
                  <w14:solidFill>
                    <w14:schemeClr w14:val="tx1"/>
                  </w14:solidFill>
                </w14:textFill>
              </w:rPr>
            </w:pPr>
          </w:p>
        </w:tc>
        <w:tc>
          <w:tcPr>
            <w:tcW w:w="976" w:type="dxa"/>
            <w:gridSpan w:val="3"/>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themeColor="text1"/>
                <w:sz w:val="18"/>
                <w:szCs w:val="18"/>
                <w14:textFill>
                  <w14:solidFill>
                    <w14:schemeClr w14:val="tx1"/>
                  </w14:solidFill>
                </w14:textFill>
              </w:rPr>
            </w:pPr>
          </w:p>
        </w:tc>
        <w:tc>
          <w:tcPr>
            <w:tcW w:w="840" w:type="dxa"/>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themeColor="text1"/>
                <w:sz w:val="18"/>
                <w:szCs w:val="18"/>
                <w14:textFill>
                  <w14:solidFill>
                    <w14:schemeClr w14:val="tx1"/>
                  </w14:solidFill>
                </w14:textFill>
              </w:rPr>
            </w:pPr>
          </w:p>
        </w:tc>
        <w:tc>
          <w:tcPr>
            <w:tcW w:w="1682" w:type="dxa"/>
            <w:tcBorders>
              <w:top w:val="single" w:color="FFFFFF" w:sz="4" w:space="0"/>
              <w:left w:val="single" w:color="FFFFFF" w:sz="4" w:space="0"/>
              <w:bottom w:val="nil"/>
              <w:right w:val="single" w:color="FFFFFF" w:sz="4" w:space="0"/>
            </w:tcBorders>
            <w:shd w:val="clear" w:color="auto" w:fill="auto"/>
            <w:vAlign w:val="center"/>
          </w:tcPr>
          <w:p>
            <w:pPr>
              <w:rPr>
                <w:rFonts w:ascii="宋体" w:hAnsi="宋体" w:cs="宋体"/>
                <w:color w:val="000000" w:themeColor="text1"/>
                <w:sz w:val="18"/>
                <w:szCs w:val="18"/>
                <w14:textFill>
                  <w14:solidFill>
                    <w14:schemeClr w14:val="tx1"/>
                  </w14:solidFill>
                </w14:textFill>
              </w:rPr>
            </w:pPr>
          </w:p>
        </w:tc>
        <w:tc>
          <w:tcPr>
            <w:tcW w:w="1146" w:type="dxa"/>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themeColor="text1"/>
                <w:sz w:val="18"/>
                <w:szCs w:val="18"/>
                <w14:textFill>
                  <w14:solidFill>
                    <w14:schemeClr w14:val="tx1"/>
                  </w14:solidFill>
                </w14:textFill>
              </w:rPr>
            </w:pPr>
          </w:p>
        </w:tc>
        <w:tc>
          <w:tcPr>
            <w:tcW w:w="882" w:type="dxa"/>
            <w:gridSpan w:val="3"/>
            <w:tcBorders>
              <w:top w:val="single" w:color="FFFFFF" w:sz="4" w:space="0"/>
              <w:left w:val="single" w:color="FFFFFF" w:sz="4" w:space="0"/>
              <w:bottom w:val="nil"/>
              <w:right w:val="single" w:color="FFFFFF" w:sz="4" w:space="0"/>
            </w:tcBorders>
            <w:shd w:val="clear" w:color="auto" w:fill="auto"/>
            <w:vAlign w:val="center"/>
          </w:tcPr>
          <w:p>
            <w:pPr>
              <w:rPr>
                <w:rFonts w:ascii="宋体" w:hAnsi="宋体" w:cs="宋体"/>
                <w:color w:val="000000" w:themeColor="text1"/>
                <w:sz w:val="18"/>
                <w:szCs w:val="18"/>
                <w14:textFill>
                  <w14:solidFill>
                    <w14:schemeClr w14:val="tx1"/>
                  </w14:solidFill>
                </w14:textFill>
              </w:rPr>
            </w:pPr>
          </w:p>
        </w:tc>
        <w:tc>
          <w:tcPr>
            <w:tcW w:w="809" w:type="dxa"/>
            <w:tcBorders>
              <w:top w:val="single" w:color="FFFFFF" w:sz="4" w:space="0"/>
              <w:left w:val="single" w:color="FFFFFF" w:sz="4" w:space="0"/>
              <w:bottom w:val="nil"/>
              <w:right w:val="single" w:color="FFFFFF" w:sz="4" w:space="0"/>
            </w:tcBorders>
            <w:shd w:val="clear" w:color="auto" w:fill="auto"/>
            <w:vAlign w:val="center"/>
          </w:tcPr>
          <w:p>
            <w:pPr>
              <w:rPr>
                <w:rFonts w:ascii="宋体" w:hAnsi="宋体" w:cs="宋体"/>
                <w:color w:val="000000" w:themeColor="text1"/>
                <w:sz w:val="18"/>
                <w:szCs w:val="18"/>
                <w14:textFill>
                  <w14:solidFill>
                    <w14:schemeClr w14:val="tx1"/>
                  </w14:solidFill>
                </w14:textFill>
              </w:rPr>
            </w:pPr>
          </w:p>
        </w:tc>
        <w:tc>
          <w:tcPr>
            <w:tcW w:w="912" w:type="dxa"/>
            <w:gridSpan w:val="4"/>
            <w:tcBorders>
              <w:top w:val="single" w:color="FFFFFF" w:sz="4" w:space="0"/>
              <w:left w:val="single" w:color="FFFFFF" w:sz="4" w:space="0"/>
              <w:bottom w:val="nil"/>
              <w:right w:val="single" w:color="FFFFFF" w:sz="4" w:space="0"/>
            </w:tcBorders>
            <w:shd w:val="clear" w:color="auto" w:fill="auto"/>
            <w:vAlign w:val="center"/>
          </w:tcPr>
          <w:p>
            <w:pPr>
              <w:rPr>
                <w:rFonts w:ascii="宋体" w:hAnsi="宋体" w:cs="宋体"/>
                <w:color w:val="000000" w:themeColor="text1"/>
                <w:sz w:val="18"/>
                <w:szCs w:val="18"/>
                <w14:textFill>
                  <w14:solidFill>
                    <w14:schemeClr w14:val="tx1"/>
                  </w14:solidFill>
                </w14:textFill>
              </w:rPr>
            </w:pPr>
          </w:p>
        </w:tc>
        <w:tc>
          <w:tcPr>
            <w:tcW w:w="852" w:type="dxa"/>
            <w:gridSpan w:val="2"/>
            <w:tcBorders>
              <w:top w:val="single" w:color="FFFFFF" w:sz="4" w:space="0"/>
              <w:left w:val="single" w:color="FFFFFF" w:sz="4" w:space="0"/>
              <w:bottom w:val="nil"/>
              <w:right w:val="single" w:color="FFFFFF" w:sz="4" w:space="0"/>
            </w:tcBorders>
            <w:shd w:val="clear" w:color="auto" w:fill="auto"/>
            <w:vAlign w:val="center"/>
          </w:tcPr>
          <w:p>
            <w:pPr>
              <w:rPr>
                <w:rFonts w:ascii="宋体" w:hAnsi="宋体" w:cs="宋体"/>
                <w:color w:val="000000" w:themeColor="text1"/>
                <w:sz w:val="18"/>
                <w:szCs w:val="18"/>
                <w14:textFill>
                  <w14:solidFill>
                    <w14:schemeClr w14:val="tx1"/>
                  </w14:solidFill>
                </w14:textFill>
              </w:rPr>
            </w:pPr>
          </w:p>
        </w:tc>
        <w:tc>
          <w:tcPr>
            <w:tcW w:w="1756" w:type="dxa"/>
            <w:gridSpan w:val="7"/>
            <w:tcBorders>
              <w:top w:val="single" w:color="FFFFFF" w:sz="4" w:space="0"/>
              <w:left w:val="single" w:color="FFFFFF" w:sz="4" w:space="0"/>
              <w:bottom w:val="nil"/>
              <w:right w:val="single" w:color="FFFFFF"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金额单位：万元</w:t>
            </w:r>
          </w:p>
        </w:tc>
      </w:tr>
      <w:tr>
        <w:tblPrEx>
          <w:tblCellMar>
            <w:top w:w="0" w:type="dxa"/>
            <w:left w:w="108" w:type="dxa"/>
            <w:bottom w:w="0" w:type="dxa"/>
            <w:right w:w="108" w:type="dxa"/>
          </w:tblCellMar>
        </w:tblPrEx>
        <w:trPr>
          <w:gridAfter w:val="1"/>
          <w:wAfter w:w="783" w:type="dxa"/>
          <w:trHeight w:val="488" w:hRule="atLeast"/>
        </w:trPr>
        <w:tc>
          <w:tcPr>
            <w:tcW w:w="362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项    目</w:t>
            </w:r>
          </w:p>
        </w:tc>
        <w:tc>
          <w:tcPr>
            <w:tcW w:w="97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合计</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上年结转</w:t>
            </w:r>
          </w:p>
        </w:tc>
        <w:tc>
          <w:tcPr>
            <w:tcW w:w="16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一般公共预算拨款收入</w:t>
            </w:r>
          </w:p>
        </w:tc>
        <w:tc>
          <w:tcPr>
            <w:tcW w:w="11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政府性基金预算拨款收入</w:t>
            </w:r>
          </w:p>
        </w:tc>
        <w:tc>
          <w:tcPr>
            <w:tcW w:w="88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国有资本经营预算拨款收入</w:t>
            </w:r>
          </w:p>
        </w:tc>
        <w:tc>
          <w:tcPr>
            <w:tcW w:w="8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事业收入</w:t>
            </w:r>
          </w:p>
        </w:tc>
        <w:tc>
          <w:tcPr>
            <w:tcW w:w="91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 xml:space="preserve">事业单位经营收入 </w:t>
            </w:r>
          </w:p>
        </w:tc>
        <w:tc>
          <w:tcPr>
            <w:tcW w:w="85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其他收入</w:t>
            </w:r>
          </w:p>
        </w:tc>
        <w:tc>
          <w:tcPr>
            <w:tcW w:w="73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上级补助收入</w:t>
            </w:r>
          </w:p>
        </w:tc>
        <w:tc>
          <w:tcPr>
            <w:tcW w:w="756" w:type="dxa"/>
            <w:gridSpan w:val="2"/>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附属单位上缴收入</w:t>
            </w:r>
          </w:p>
        </w:tc>
        <w:tc>
          <w:tcPr>
            <w:tcW w:w="973" w:type="dxa"/>
            <w:gridSpan w:val="3"/>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财政专户管理资金收入</w:t>
            </w:r>
          </w:p>
        </w:tc>
      </w:tr>
      <w:tr>
        <w:tblPrEx>
          <w:tblCellMar>
            <w:top w:w="0" w:type="dxa"/>
            <w:left w:w="108" w:type="dxa"/>
            <w:bottom w:w="0" w:type="dxa"/>
            <w:right w:w="108" w:type="dxa"/>
          </w:tblCellMar>
        </w:tblPrEx>
        <w:trPr>
          <w:gridAfter w:val="1"/>
          <w:wAfter w:w="783" w:type="dxa"/>
          <w:trHeight w:val="986"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kern w:val="0"/>
                <w:sz w:val="22"/>
                <w:szCs w:val="22"/>
                <w14:textFill>
                  <w14:solidFill>
                    <w14:schemeClr w14:val="tx1"/>
                  </w14:solidFill>
                </w14:textFill>
              </w:rPr>
              <w:t>单位代码</w:t>
            </w: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kern w:val="0"/>
                <w:sz w:val="22"/>
                <w:szCs w:val="22"/>
                <w14:textFill>
                  <w14:solidFill>
                    <w14:schemeClr w14:val="tx1"/>
                  </w14:solidFill>
                </w14:textFill>
              </w:rPr>
              <w:t>单位名称（科目）</w:t>
            </w:r>
          </w:p>
        </w:tc>
        <w:tc>
          <w:tcPr>
            <w:tcW w:w="97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88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8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91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8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73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756" w:type="dxa"/>
            <w:gridSpan w:val="2"/>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c>
          <w:tcPr>
            <w:tcW w:w="973" w:type="dxa"/>
            <w:gridSpan w:val="3"/>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gridAfter w:val="1"/>
          <w:wAfter w:w="783" w:type="dxa"/>
          <w:trHeight w:val="540"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广元市产品质量监督检验所</w:t>
            </w:r>
          </w:p>
        </w:tc>
        <w:tc>
          <w:tcPr>
            <w:tcW w:w="9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1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783" w:type="dxa"/>
          <w:trHeight w:val="540"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9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1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783" w:type="dxa"/>
          <w:trHeight w:val="540"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9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1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783" w:type="dxa"/>
          <w:trHeight w:val="540"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9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1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783" w:type="dxa"/>
          <w:trHeight w:val="540"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9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1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783" w:type="dxa"/>
          <w:trHeight w:val="540"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9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1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783" w:type="dxa"/>
          <w:trHeight w:val="540"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9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1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783" w:type="dxa"/>
          <w:trHeight w:val="540"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9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1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783" w:type="dxa"/>
          <w:trHeight w:val="540" w:hRule="atLeast"/>
        </w:trPr>
        <w:tc>
          <w:tcPr>
            <w:tcW w:w="21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5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9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1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8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9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7"/>
          <w:wAfter w:w="2523" w:type="dxa"/>
          <w:trHeight w:val="456" w:hRule="atLeast"/>
        </w:trPr>
        <w:tc>
          <w:tcPr>
            <w:tcW w:w="12447" w:type="dxa"/>
            <w:gridSpan w:val="25"/>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both"/>
              <w:textAlignment w:val="center"/>
              <w:rPr>
                <w:rFonts w:hint="default" w:ascii="宋体" w:hAnsi="宋体" w:eastAsia="宋体" w:cs="宋体"/>
                <w:b/>
                <w:bCs/>
                <w:color w:val="000000" w:themeColor="text1"/>
                <w:kern w:val="0"/>
                <w:sz w:val="28"/>
                <w:szCs w:val="28"/>
                <w:lang w:val="en-US" w:eastAsia="zh-CN"/>
                <w14:textFill>
                  <w14:solidFill>
                    <w14:schemeClr w14:val="tx1"/>
                  </w14:solidFill>
                </w14:textFill>
              </w:rPr>
            </w:pPr>
            <w:r>
              <w:rPr>
                <w:rFonts w:hint="eastAsia" w:ascii="宋体" w:hAnsi="宋体" w:cs="宋体"/>
                <w:b/>
                <w:bCs/>
                <w:color w:val="000000" w:themeColor="text1"/>
                <w:kern w:val="0"/>
                <w:sz w:val="28"/>
                <w:szCs w:val="28"/>
                <w:lang w:eastAsia="zh-CN"/>
                <w14:textFill>
                  <w14:solidFill>
                    <w14:schemeClr w14:val="tx1"/>
                  </w14:solidFill>
                </w14:textFill>
              </w:rPr>
              <w:t>附表</w:t>
            </w:r>
            <w:r>
              <w:rPr>
                <w:rFonts w:hint="eastAsia" w:ascii="宋体" w:hAnsi="宋体" w:cs="宋体"/>
                <w:b/>
                <w:bCs/>
                <w:color w:val="000000" w:themeColor="text1"/>
                <w:kern w:val="0"/>
                <w:sz w:val="28"/>
                <w:szCs w:val="28"/>
                <w:lang w:val="en-US" w:eastAsia="zh-CN"/>
                <w14:textFill>
                  <w14:solidFill>
                    <w14:schemeClr w14:val="tx1"/>
                  </w14:solidFill>
                </w14:textFill>
              </w:rPr>
              <w:t>3</w:t>
            </w:r>
          </w:p>
          <w:p>
            <w:pPr>
              <w:widowControl/>
              <w:jc w:val="center"/>
              <w:textAlignment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部门支出总表</w:t>
            </w:r>
          </w:p>
        </w:tc>
      </w:tr>
      <w:tr>
        <w:tblPrEx>
          <w:tblCellMar>
            <w:top w:w="0" w:type="dxa"/>
            <w:left w:w="108" w:type="dxa"/>
            <w:bottom w:w="0" w:type="dxa"/>
            <w:right w:w="108" w:type="dxa"/>
          </w:tblCellMar>
        </w:tblPrEx>
        <w:trPr>
          <w:gridAfter w:val="8"/>
          <w:wAfter w:w="2785" w:type="dxa"/>
          <w:trHeight w:val="391" w:hRule="atLeast"/>
        </w:trPr>
        <w:tc>
          <w:tcPr>
            <w:tcW w:w="7122" w:type="dxa"/>
            <w:gridSpan w:val="11"/>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themeColor="text1"/>
                <w:sz w:val="22"/>
                <w:szCs w:val="22"/>
                <w14:textFill>
                  <w14:solidFill>
                    <w14:schemeClr w14:val="tx1"/>
                  </w14:solidFill>
                </w14:textFill>
              </w:rPr>
            </w:pPr>
          </w:p>
        </w:tc>
        <w:tc>
          <w:tcPr>
            <w:tcW w:w="1254" w:type="dxa"/>
            <w:gridSpan w:val="2"/>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themeColor="text1"/>
                <w:sz w:val="18"/>
                <w:szCs w:val="18"/>
                <w14:textFill>
                  <w14:solidFill>
                    <w14:schemeClr w14:val="tx1"/>
                  </w14:solidFill>
                </w14:textFill>
              </w:rPr>
            </w:pPr>
          </w:p>
        </w:tc>
        <w:tc>
          <w:tcPr>
            <w:tcW w:w="1701" w:type="dxa"/>
            <w:gridSpan w:val="5"/>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themeColor="text1"/>
                <w:sz w:val="18"/>
                <w:szCs w:val="18"/>
                <w14:textFill>
                  <w14:solidFill>
                    <w14:schemeClr w14:val="tx1"/>
                  </w14:solidFill>
                </w14:textFill>
              </w:rPr>
            </w:pPr>
          </w:p>
        </w:tc>
        <w:tc>
          <w:tcPr>
            <w:tcW w:w="236" w:type="dxa"/>
            <w:tcBorders>
              <w:top w:val="single" w:color="FFFFFF" w:sz="4" w:space="0"/>
              <w:left w:val="single" w:color="FFFFFF" w:sz="4" w:space="0"/>
              <w:bottom w:val="nil"/>
              <w:right w:val="single" w:color="FFFFFF" w:sz="4" w:space="0"/>
            </w:tcBorders>
            <w:shd w:val="clear" w:color="auto" w:fill="auto"/>
            <w:vAlign w:val="center"/>
          </w:tcPr>
          <w:p>
            <w:pPr>
              <w:rPr>
                <w:rFonts w:ascii="宋体" w:hAnsi="宋体" w:cs="宋体"/>
                <w:color w:val="000000" w:themeColor="text1"/>
                <w:sz w:val="18"/>
                <w:szCs w:val="18"/>
                <w14:textFill>
                  <w14:solidFill>
                    <w14:schemeClr w14:val="tx1"/>
                  </w14:solidFill>
                </w14:textFill>
              </w:rPr>
            </w:pPr>
          </w:p>
        </w:tc>
        <w:tc>
          <w:tcPr>
            <w:tcW w:w="1872" w:type="dxa"/>
            <w:gridSpan w:val="5"/>
            <w:tcBorders>
              <w:top w:val="single" w:color="FFFFFF" w:sz="4" w:space="0"/>
              <w:left w:val="single" w:color="FFFFFF" w:sz="4" w:space="0"/>
              <w:bottom w:val="nil"/>
              <w:right w:val="single" w:color="FFFFFF"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金额单位：万元</w:t>
            </w:r>
          </w:p>
        </w:tc>
      </w:tr>
      <w:tr>
        <w:tblPrEx>
          <w:tblCellMar>
            <w:top w:w="0" w:type="dxa"/>
            <w:left w:w="108" w:type="dxa"/>
            <w:bottom w:w="0" w:type="dxa"/>
            <w:right w:w="108" w:type="dxa"/>
          </w:tblCellMar>
        </w:tblPrEx>
        <w:trPr>
          <w:gridAfter w:val="9"/>
          <w:wAfter w:w="3051" w:type="dxa"/>
          <w:trHeight w:val="488" w:hRule="atLeast"/>
        </w:trPr>
        <w:tc>
          <w:tcPr>
            <w:tcW w:w="7122"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kern w:val="0"/>
                <w:sz w:val="22"/>
                <w:szCs w:val="22"/>
                <w14:textFill>
                  <w14:solidFill>
                    <w14:schemeClr w14:val="tx1"/>
                  </w14:solidFill>
                </w14:textFill>
              </w:rPr>
              <w:t>项    目</w:t>
            </w:r>
          </w:p>
        </w:tc>
        <w:tc>
          <w:tcPr>
            <w:tcW w:w="12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kern w:val="0"/>
                <w:sz w:val="22"/>
                <w:szCs w:val="22"/>
                <w14:textFill>
                  <w14:solidFill>
                    <w14:schemeClr w14:val="tx1"/>
                  </w14:solidFill>
                </w14:textFill>
              </w:rPr>
              <w:t>合计</w:t>
            </w:r>
          </w:p>
        </w:tc>
        <w:tc>
          <w:tcPr>
            <w:tcW w:w="170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kern w:val="0"/>
                <w:sz w:val="22"/>
                <w:szCs w:val="22"/>
                <w14:textFill>
                  <w14:solidFill>
                    <w14:schemeClr w14:val="tx1"/>
                  </w14:solidFill>
                </w14:textFill>
              </w:rPr>
              <w:t>基本支出</w:t>
            </w:r>
          </w:p>
        </w:tc>
        <w:tc>
          <w:tcPr>
            <w:tcW w:w="184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kern w:val="0"/>
                <w:sz w:val="22"/>
                <w:szCs w:val="22"/>
                <w14:textFill>
                  <w14:solidFill>
                    <w14:schemeClr w14:val="tx1"/>
                  </w14:solidFill>
                </w14:textFill>
              </w:rPr>
              <w:t>项目支出</w:t>
            </w:r>
          </w:p>
        </w:tc>
      </w:tr>
      <w:tr>
        <w:tblPrEx>
          <w:tblCellMar>
            <w:top w:w="0" w:type="dxa"/>
            <w:left w:w="108" w:type="dxa"/>
            <w:bottom w:w="0" w:type="dxa"/>
            <w:right w:w="108" w:type="dxa"/>
          </w:tblCellMar>
        </w:tblPrEx>
        <w:trPr>
          <w:gridAfter w:val="9"/>
          <w:wAfter w:w="3051" w:type="dxa"/>
          <w:trHeight w:val="488" w:hRule="atLeast"/>
        </w:trPr>
        <w:tc>
          <w:tcPr>
            <w:tcW w:w="30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科目编码</w:t>
            </w:r>
          </w:p>
        </w:tc>
        <w:tc>
          <w:tcPr>
            <w:tcW w:w="140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kern w:val="0"/>
                <w:sz w:val="22"/>
                <w:szCs w:val="22"/>
                <w14:textFill>
                  <w14:solidFill>
                    <w14:schemeClr w14:val="tx1"/>
                  </w14:solidFill>
                </w14:textFill>
              </w:rPr>
              <w:t>单位代码</w:t>
            </w:r>
          </w:p>
        </w:tc>
        <w:tc>
          <w:tcPr>
            <w:tcW w:w="271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themeColor="text1"/>
                <w:sz w:val="22"/>
                <w:szCs w:val="22"/>
                <w14:textFill>
                  <w14:solidFill>
                    <w14:schemeClr w14:val="tx1"/>
                  </w14:solidFill>
                </w14:textFill>
              </w:rPr>
            </w:pPr>
            <w:r>
              <w:rPr>
                <w:rFonts w:hint="eastAsia" w:ascii="宋体" w:hAnsi="宋体" w:cs="宋体"/>
                <w:b/>
                <w:bCs/>
                <w:color w:val="000000" w:themeColor="text1"/>
                <w:kern w:val="0"/>
                <w:sz w:val="22"/>
                <w:szCs w:val="22"/>
                <w14:textFill>
                  <w14:solidFill>
                    <w14:schemeClr w14:val="tx1"/>
                  </w14:solidFill>
                </w14:textFill>
              </w:rPr>
              <w:t>单位名称（科目）</w:t>
            </w:r>
          </w:p>
        </w:tc>
        <w:tc>
          <w:tcPr>
            <w:tcW w:w="12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themeColor="text1"/>
                <w:sz w:val="22"/>
                <w:szCs w:val="22"/>
                <w14:textFill>
                  <w14:solidFill>
                    <w14:schemeClr w14:val="tx1"/>
                  </w14:solidFill>
                </w14:textFill>
              </w:rPr>
            </w:pPr>
          </w:p>
        </w:tc>
        <w:tc>
          <w:tcPr>
            <w:tcW w:w="170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themeColor="text1"/>
                <w:sz w:val="22"/>
                <w:szCs w:val="22"/>
                <w14:textFill>
                  <w14:solidFill>
                    <w14:schemeClr w14:val="tx1"/>
                  </w14:solidFill>
                </w14:textFill>
              </w:rPr>
            </w:pPr>
          </w:p>
        </w:tc>
        <w:tc>
          <w:tcPr>
            <w:tcW w:w="184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gridAfter w:val="9"/>
          <w:wAfter w:w="3051" w:type="dxa"/>
          <w:trHeight w:val="488"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类</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款</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w:t>
            </w:r>
          </w:p>
        </w:tc>
        <w:tc>
          <w:tcPr>
            <w:tcW w:w="140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27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sz w:val="22"/>
                <w:szCs w:val="22"/>
              </w:rPr>
            </w:pPr>
          </w:p>
        </w:tc>
        <w:tc>
          <w:tcPr>
            <w:tcW w:w="12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70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4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gridAfter w:val="9"/>
          <w:wAfter w:w="3051" w:type="dxa"/>
          <w:trHeight w:val="450"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合    计</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542.74</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456.74</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86.00</w:t>
            </w:r>
          </w:p>
        </w:tc>
      </w:tr>
      <w:tr>
        <w:tblPrEx>
          <w:tblCellMar>
            <w:top w:w="0" w:type="dxa"/>
            <w:left w:w="108" w:type="dxa"/>
            <w:bottom w:w="0" w:type="dxa"/>
            <w:right w:w="108" w:type="dxa"/>
          </w:tblCellMar>
        </w:tblPrEx>
        <w:trPr>
          <w:gridAfter w:val="9"/>
          <w:wAfter w:w="3051" w:type="dxa"/>
          <w:trHeight w:val="390"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456.74</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86.00</w:t>
            </w:r>
          </w:p>
        </w:tc>
      </w:tr>
      <w:tr>
        <w:tblPrEx>
          <w:tblCellMar>
            <w:top w:w="0" w:type="dxa"/>
            <w:left w:w="108" w:type="dxa"/>
            <w:bottom w:w="0" w:type="dxa"/>
            <w:right w:w="108" w:type="dxa"/>
          </w:tblCellMar>
        </w:tblPrEx>
        <w:trPr>
          <w:gridAfter w:val="9"/>
          <w:wAfter w:w="3051" w:type="dxa"/>
          <w:trHeight w:val="540"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广元市产品质量监督检验所</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456.74</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86.00</w:t>
            </w:r>
          </w:p>
        </w:tc>
      </w:tr>
      <w:tr>
        <w:tblPrEx>
          <w:tblCellMar>
            <w:top w:w="0" w:type="dxa"/>
            <w:left w:w="108" w:type="dxa"/>
            <w:bottom w:w="0" w:type="dxa"/>
            <w:right w:w="108" w:type="dxa"/>
          </w:tblCellMar>
        </w:tblPrEx>
        <w:trPr>
          <w:gridAfter w:val="9"/>
          <w:wAfter w:w="3051" w:type="dxa"/>
          <w:trHeight w:val="460"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201</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38</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50</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事业运行</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345.37</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345.37</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gridAfter w:val="9"/>
          <w:wAfter w:w="3051" w:type="dxa"/>
          <w:trHeight w:val="450"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201</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38</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99</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其他市场监督管理事务</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86.00</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86.00</w:t>
            </w:r>
          </w:p>
        </w:tc>
      </w:tr>
      <w:tr>
        <w:tblPrEx>
          <w:tblCellMar>
            <w:top w:w="0" w:type="dxa"/>
            <w:left w:w="108" w:type="dxa"/>
            <w:bottom w:w="0" w:type="dxa"/>
            <w:right w:w="108" w:type="dxa"/>
          </w:tblCellMar>
        </w:tblPrEx>
        <w:trPr>
          <w:gridAfter w:val="9"/>
          <w:wAfter w:w="3051" w:type="dxa"/>
          <w:trHeight w:val="454"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208</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05</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05</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机关事业单位基本养老保险缴费支出</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41.04</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41.04</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gridAfter w:val="9"/>
          <w:wAfter w:w="3051" w:type="dxa"/>
          <w:trHeight w:val="540"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208</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05</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06</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机关事业单位职业年金缴费支出</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20.52</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20.52</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gridAfter w:val="9"/>
          <w:wAfter w:w="3051" w:type="dxa"/>
          <w:trHeight w:val="540"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208</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99</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99</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其他社会保障和就业支出</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1.57</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1.57</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gridAfter w:val="9"/>
          <w:wAfter w:w="3051" w:type="dxa"/>
          <w:trHeight w:val="480"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210</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11</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02</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事业单位医疗</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13.24</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13.24</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gridAfter w:val="9"/>
          <w:wAfter w:w="3051" w:type="dxa"/>
          <w:trHeight w:val="440" w:hRule="atLeast"/>
        </w:trPr>
        <w:tc>
          <w:tcPr>
            <w:tcW w:w="5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221</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02</w:t>
            </w:r>
          </w:p>
        </w:tc>
        <w:tc>
          <w:tcPr>
            <w:tcW w:w="15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01</w:t>
            </w:r>
          </w:p>
        </w:tc>
        <w:tc>
          <w:tcPr>
            <w:tcW w:w="14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27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住房公积金</w:t>
            </w:r>
          </w:p>
        </w:tc>
        <w:tc>
          <w:tcPr>
            <w:tcW w:w="12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35.00</w:t>
            </w:r>
          </w:p>
        </w:tc>
        <w:tc>
          <w:tcPr>
            <w:tcW w:w="17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35.00</w:t>
            </w:r>
          </w:p>
        </w:tc>
        <w:tc>
          <w:tcPr>
            <w:tcW w:w="184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gridAfter w:val="2"/>
          <w:wAfter w:w="962" w:type="dxa"/>
          <w:trHeight w:val="456" w:hRule="atLeast"/>
        </w:trPr>
        <w:tc>
          <w:tcPr>
            <w:tcW w:w="14008" w:type="dxa"/>
            <w:gridSpan w:val="30"/>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left"/>
              <w:textAlignment w:val="center"/>
              <w:rPr>
                <w:rFonts w:hint="default" w:ascii="黑体" w:hAnsi="宋体" w:eastAsia="黑体" w:cs="黑体"/>
                <w:b w:val="0"/>
                <w:bCs w:val="0"/>
                <w:color w:val="000000"/>
                <w:kern w:val="0"/>
                <w:sz w:val="24"/>
                <w:szCs w:val="24"/>
                <w:lang w:val="en-US" w:eastAsia="zh-CN"/>
              </w:rPr>
            </w:pPr>
            <w:r>
              <w:rPr>
                <w:rFonts w:hint="eastAsia" w:ascii="黑体" w:hAnsi="宋体" w:eastAsia="黑体" w:cs="黑体"/>
                <w:b w:val="0"/>
                <w:bCs w:val="0"/>
                <w:color w:val="000000"/>
                <w:kern w:val="0"/>
                <w:sz w:val="24"/>
                <w:szCs w:val="24"/>
                <w:lang w:eastAsia="zh-CN"/>
              </w:rPr>
              <w:t>附表</w:t>
            </w:r>
            <w:r>
              <w:rPr>
                <w:rFonts w:hint="eastAsia" w:ascii="黑体" w:hAnsi="宋体" w:eastAsia="黑体" w:cs="黑体"/>
                <w:b w:val="0"/>
                <w:bCs w:val="0"/>
                <w:color w:val="000000"/>
                <w:kern w:val="0"/>
                <w:sz w:val="24"/>
                <w:szCs w:val="24"/>
                <w:lang w:val="en-US" w:eastAsia="zh-CN"/>
              </w:rPr>
              <w:t>4</w:t>
            </w:r>
          </w:p>
          <w:p>
            <w:pPr>
              <w:widowControl/>
              <w:jc w:val="center"/>
              <w:textAlignment w:val="center"/>
              <w:rPr>
                <w:rFonts w:ascii="黑体" w:hAnsi="宋体" w:eastAsia="黑体" w:cs="黑体"/>
                <w:b/>
                <w:bCs/>
                <w:color w:val="000000"/>
                <w:sz w:val="32"/>
                <w:szCs w:val="32"/>
              </w:rPr>
            </w:pPr>
            <w:r>
              <w:rPr>
                <w:rFonts w:hint="eastAsia" w:ascii="黑体" w:hAnsi="宋体" w:eastAsia="黑体" w:cs="黑体"/>
                <w:b/>
                <w:bCs/>
                <w:color w:val="000000"/>
                <w:kern w:val="0"/>
                <w:sz w:val="32"/>
                <w:szCs w:val="32"/>
              </w:rPr>
              <w:t>财政拨款收支预算总表</w:t>
            </w:r>
          </w:p>
        </w:tc>
      </w:tr>
      <w:tr>
        <w:tblPrEx>
          <w:tblCellMar>
            <w:top w:w="0" w:type="dxa"/>
            <w:left w:w="108" w:type="dxa"/>
            <w:bottom w:w="0" w:type="dxa"/>
            <w:right w:w="108" w:type="dxa"/>
          </w:tblCellMar>
        </w:tblPrEx>
        <w:trPr>
          <w:gridAfter w:val="2"/>
          <w:wAfter w:w="962" w:type="dxa"/>
          <w:trHeight w:val="391" w:hRule="atLeast"/>
        </w:trPr>
        <w:tc>
          <w:tcPr>
            <w:tcW w:w="4573" w:type="dxa"/>
            <w:gridSpan w:val="8"/>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4150" w:type="dxa"/>
            <w:gridSpan w:val="6"/>
            <w:tcBorders>
              <w:top w:val="nil"/>
              <w:left w:val="nil"/>
              <w:bottom w:val="nil"/>
              <w:right w:val="nil"/>
            </w:tcBorders>
            <w:shd w:val="clear" w:color="auto" w:fill="auto"/>
            <w:vAlign w:val="center"/>
          </w:tcPr>
          <w:p>
            <w:pPr>
              <w:rPr>
                <w:rFonts w:ascii="黑体" w:hAnsi="黑体" w:eastAsia="黑体" w:cs="黑体"/>
                <w:color w:val="000000"/>
                <w:sz w:val="18"/>
                <w:szCs w:val="18"/>
              </w:rPr>
            </w:pPr>
          </w:p>
        </w:tc>
        <w:tc>
          <w:tcPr>
            <w:tcW w:w="1256" w:type="dxa"/>
            <w:gridSpan w:val="3"/>
            <w:tcBorders>
              <w:top w:val="nil"/>
              <w:left w:val="nil"/>
              <w:bottom w:val="nil"/>
              <w:right w:val="nil"/>
            </w:tcBorders>
            <w:shd w:val="clear" w:color="auto" w:fill="auto"/>
            <w:noWrap/>
            <w:vAlign w:val="center"/>
          </w:tcPr>
          <w:p>
            <w:pPr>
              <w:rPr>
                <w:rFonts w:ascii="宋体" w:hAnsi="宋体" w:cs="宋体"/>
                <w:color w:val="000000"/>
                <w:sz w:val="22"/>
                <w:szCs w:val="22"/>
              </w:rPr>
            </w:pPr>
          </w:p>
        </w:tc>
        <w:tc>
          <w:tcPr>
            <w:tcW w:w="4029" w:type="dxa"/>
            <w:gridSpan w:val="13"/>
            <w:tcBorders>
              <w:top w:val="nil"/>
              <w:left w:val="nil"/>
              <w:bottom w:val="nil"/>
              <w:right w:val="nil"/>
            </w:tcBorders>
            <w:shd w:val="clear" w:color="auto" w:fill="auto"/>
            <w:noWrap/>
            <w:vAlign w:val="center"/>
          </w:tcPr>
          <w:p>
            <w:pPr>
              <w:widowControl/>
              <w:jc w:val="right"/>
              <w:textAlignment w:val="center"/>
              <w:rPr>
                <w:rFonts w:ascii="宋体" w:hAnsi="宋体" w:cs="宋体"/>
                <w:color w:val="000000"/>
                <w:sz w:val="22"/>
                <w:szCs w:val="22"/>
              </w:rPr>
            </w:pPr>
            <w:r>
              <w:rPr>
                <w:rFonts w:ascii="宋体" w:hAnsi="宋体" w:cs="宋体"/>
                <w:color w:val="000000"/>
                <w:kern w:val="0"/>
                <w:sz w:val="22"/>
                <w:szCs w:val="22"/>
              </w:rPr>
              <w:t>金额单位：万元</w:t>
            </w:r>
          </w:p>
        </w:tc>
      </w:tr>
      <w:tr>
        <w:tblPrEx>
          <w:tblCellMar>
            <w:top w:w="0" w:type="dxa"/>
            <w:left w:w="108" w:type="dxa"/>
            <w:bottom w:w="0" w:type="dxa"/>
            <w:right w:w="108" w:type="dxa"/>
          </w:tblCellMar>
        </w:tblPrEx>
        <w:trPr>
          <w:gridAfter w:val="2"/>
          <w:wAfter w:w="962" w:type="dxa"/>
          <w:trHeight w:val="600" w:hRule="atLeast"/>
        </w:trPr>
        <w:tc>
          <w:tcPr>
            <w:tcW w:w="4573"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收    入</w:t>
            </w:r>
          </w:p>
        </w:tc>
        <w:tc>
          <w:tcPr>
            <w:tcW w:w="9435" w:type="dxa"/>
            <w:gridSpan w:val="2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支    出</w:t>
            </w: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    目</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预算数</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    目</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合计</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一般公共预算</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政府性基金预算</w:t>
            </w: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国有资本经营预算</w:t>
            </w: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一、本年收入</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一、本年支出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一般公共预算拨款收入</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一般公共服务支出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431.37</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431.37</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政府性基金预算拨款收入</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外交支出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国有资本经营预算拨款收入</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国防支出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二、上年结转</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公共安全支出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一般公共预算拨款收入</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教育支出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政府性基金预算拨款收入</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科学技术支出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国有资本经营预算拨款收入</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文化旅游体育与传媒支出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社会保障和就业支出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63.13</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63.13</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社会保险基金支出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卫生健康支出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13.24</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13.24</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节能环保支出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城乡社区支出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农林水支出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交通运输支出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资源勘探工业信息等支出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商业服务业等支出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金融支出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援助其他地区支出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自然资源海洋气象等支出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住房保障支出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35.00</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35.00</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粮油物资储备支出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国有资本经营预算支出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灾害防治及应急管理支出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债务付息支出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债务发行费用支出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2"/>
          <w:wAfter w:w="962" w:type="dxa"/>
          <w:trHeight w:val="600" w:hRule="atLeast"/>
        </w:trPr>
        <w:tc>
          <w:tcPr>
            <w:tcW w:w="3317"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415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抗疫特别国债安排的支出</w:t>
            </w:r>
          </w:p>
        </w:tc>
        <w:tc>
          <w:tcPr>
            <w:tcW w:w="12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4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2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3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bl>
    <w:p>
      <w:pP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tbl>
      <w:tblPr>
        <w:tblStyle w:val="13"/>
        <w:tblW w:w="14364" w:type="dxa"/>
        <w:tblInd w:w="96" w:type="dxa"/>
        <w:tblLayout w:type="fixed"/>
        <w:tblCellMar>
          <w:top w:w="0" w:type="dxa"/>
          <w:left w:w="108" w:type="dxa"/>
          <w:bottom w:w="0" w:type="dxa"/>
          <w:right w:w="108" w:type="dxa"/>
        </w:tblCellMar>
      </w:tblPr>
      <w:tblGrid>
        <w:gridCol w:w="504"/>
        <w:gridCol w:w="504"/>
        <w:gridCol w:w="776"/>
        <w:gridCol w:w="1605"/>
        <w:gridCol w:w="1110"/>
        <w:gridCol w:w="945"/>
        <w:gridCol w:w="945"/>
        <w:gridCol w:w="853"/>
        <w:gridCol w:w="197"/>
        <w:gridCol w:w="511"/>
        <w:gridCol w:w="449"/>
        <w:gridCol w:w="118"/>
        <w:gridCol w:w="118"/>
        <w:gridCol w:w="297"/>
        <w:gridCol w:w="387"/>
        <w:gridCol w:w="387"/>
        <w:gridCol w:w="387"/>
        <w:gridCol w:w="387"/>
        <w:gridCol w:w="387"/>
        <w:gridCol w:w="387"/>
        <w:gridCol w:w="388"/>
        <w:gridCol w:w="388"/>
        <w:gridCol w:w="389"/>
        <w:gridCol w:w="389"/>
        <w:gridCol w:w="389"/>
        <w:gridCol w:w="389"/>
        <w:gridCol w:w="389"/>
        <w:gridCol w:w="389"/>
      </w:tblGrid>
      <w:tr>
        <w:tblPrEx>
          <w:tblCellMar>
            <w:top w:w="0" w:type="dxa"/>
            <w:left w:w="108" w:type="dxa"/>
            <w:bottom w:w="0" w:type="dxa"/>
            <w:right w:w="108" w:type="dxa"/>
          </w:tblCellMar>
        </w:tblPrEx>
        <w:trPr>
          <w:trHeight w:val="500" w:hRule="atLeast"/>
        </w:trPr>
        <w:tc>
          <w:tcPr>
            <w:tcW w:w="1008" w:type="dxa"/>
            <w:gridSpan w:val="2"/>
            <w:tcBorders>
              <w:top w:val="single" w:color="FFFFFF" w:sz="4" w:space="0"/>
              <w:left w:val="single" w:color="FFFFFF" w:sz="4" w:space="0"/>
              <w:bottom w:val="single" w:color="FFFFFF" w:sz="4" w:space="0"/>
              <w:right w:val="single" w:color="FFFFFF" w:sz="4" w:space="0"/>
            </w:tcBorders>
            <w:noWrap/>
            <w:vAlign w:val="center"/>
          </w:tcPr>
          <w:p>
            <w:pPr>
              <w:rPr>
                <w:rFonts w:ascii="方正黑体简体" w:hAnsi="方正黑体简体" w:eastAsia="方正黑体简体" w:cs="方正黑体简体"/>
                <w:color w:val="000000"/>
                <w:sz w:val="24"/>
              </w:rPr>
            </w:pPr>
            <w:r>
              <w:rPr>
                <w:rFonts w:ascii="方正黑体简体" w:hAnsi="方正黑体简体" w:eastAsia="方正黑体简体" w:cs="方正黑体简体"/>
                <w:color w:val="000000"/>
                <w:kern w:val="0"/>
                <w:sz w:val="24"/>
              </w:rPr>
              <w:t>附表5</w:t>
            </w:r>
          </w:p>
        </w:tc>
        <w:tc>
          <w:tcPr>
            <w:tcW w:w="776"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1605"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1110" w:type="dxa"/>
            <w:tcBorders>
              <w:top w:val="single" w:color="FFFFFF" w:sz="4" w:space="0"/>
              <w:left w:val="single" w:color="FFFFFF" w:sz="4" w:space="0"/>
              <w:bottom w:val="single" w:color="FFFFFF" w:sz="4" w:space="0"/>
              <w:right w:val="single" w:color="FFFFFF" w:sz="4" w:space="0"/>
            </w:tcBorders>
            <w:noWrap/>
            <w:vAlign w:val="center"/>
          </w:tcPr>
          <w:p>
            <w:pPr>
              <w:rPr>
                <w:rFonts w:ascii="宋体" w:hAnsi="宋体" w:cs="宋体"/>
                <w:color w:val="000000"/>
                <w:sz w:val="18"/>
                <w:szCs w:val="18"/>
              </w:rPr>
            </w:pPr>
          </w:p>
        </w:tc>
        <w:tc>
          <w:tcPr>
            <w:tcW w:w="945" w:type="dxa"/>
            <w:tcBorders>
              <w:top w:val="single" w:color="FFFFFF" w:sz="4" w:space="0"/>
              <w:left w:val="single" w:color="FFFFFF" w:sz="4" w:space="0"/>
              <w:bottom w:val="single" w:color="FFFFFF" w:sz="4" w:space="0"/>
              <w:right w:val="single" w:color="FFFFFF" w:sz="4" w:space="0"/>
            </w:tcBorders>
            <w:noWrap/>
            <w:vAlign w:val="center"/>
          </w:tcPr>
          <w:p>
            <w:pPr>
              <w:rPr>
                <w:rFonts w:ascii="宋体" w:hAnsi="宋体" w:cs="宋体"/>
                <w:color w:val="000000"/>
                <w:sz w:val="18"/>
                <w:szCs w:val="18"/>
              </w:rPr>
            </w:pPr>
          </w:p>
        </w:tc>
        <w:tc>
          <w:tcPr>
            <w:tcW w:w="945" w:type="dxa"/>
            <w:tcBorders>
              <w:top w:val="single" w:color="FFFFFF" w:sz="4" w:space="0"/>
              <w:left w:val="single" w:color="FFFFFF" w:sz="4" w:space="0"/>
              <w:bottom w:val="single" w:color="FFFFFF" w:sz="4" w:space="0"/>
              <w:right w:val="single" w:color="FFFFFF" w:sz="4" w:space="0"/>
            </w:tcBorders>
            <w:noWrap/>
            <w:vAlign w:val="center"/>
          </w:tcPr>
          <w:p>
            <w:pPr>
              <w:rPr>
                <w:rFonts w:ascii="宋体" w:hAnsi="宋体" w:cs="宋体"/>
                <w:color w:val="000000"/>
                <w:sz w:val="18"/>
                <w:szCs w:val="18"/>
              </w:rPr>
            </w:pPr>
          </w:p>
        </w:tc>
        <w:tc>
          <w:tcPr>
            <w:tcW w:w="1050" w:type="dxa"/>
            <w:gridSpan w:val="2"/>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960" w:type="dxa"/>
            <w:gridSpan w:val="2"/>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236" w:type="dxa"/>
            <w:gridSpan w:val="2"/>
            <w:tcBorders>
              <w:top w:val="single" w:color="FFFFFF" w:sz="4" w:space="0"/>
              <w:left w:val="single" w:color="FFFFFF" w:sz="4" w:space="0"/>
              <w:bottom w:val="single" w:color="FFFFFF" w:sz="4" w:space="0"/>
              <w:right w:val="single" w:color="FFFFFF" w:sz="4" w:space="0"/>
            </w:tcBorders>
            <w:noWrap/>
            <w:vAlign w:val="center"/>
          </w:tcPr>
          <w:p>
            <w:pPr>
              <w:rPr>
                <w:rFonts w:ascii="宋体" w:hAnsi="宋体" w:cs="宋体"/>
                <w:color w:val="000000"/>
                <w:sz w:val="18"/>
                <w:szCs w:val="18"/>
              </w:rPr>
            </w:pPr>
          </w:p>
        </w:tc>
        <w:tc>
          <w:tcPr>
            <w:tcW w:w="297"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8"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8"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single" w:color="FFFFFF" w:sz="4" w:space="0"/>
              <w:right w:val="single" w:color="FFFFFF" w:sz="4" w:space="0"/>
            </w:tcBorders>
            <w:vAlign w:val="center"/>
          </w:tcPr>
          <w:p>
            <w:pPr>
              <w:rPr>
                <w:rFonts w:ascii="宋体" w:hAnsi="宋体" w:cs="宋体"/>
                <w:color w:val="000000"/>
                <w:sz w:val="18"/>
                <w:szCs w:val="18"/>
              </w:rPr>
            </w:pPr>
          </w:p>
        </w:tc>
      </w:tr>
      <w:tr>
        <w:tblPrEx>
          <w:tblCellMar>
            <w:top w:w="0" w:type="dxa"/>
            <w:left w:w="108" w:type="dxa"/>
            <w:bottom w:w="0" w:type="dxa"/>
            <w:right w:w="108" w:type="dxa"/>
          </w:tblCellMar>
        </w:tblPrEx>
        <w:trPr>
          <w:trHeight w:val="456" w:hRule="atLeast"/>
        </w:trPr>
        <w:tc>
          <w:tcPr>
            <w:tcW w:w="14364" w:type="dxa"/>
            <w:gridSpan w:val="28"/>
            <w:tcBorders>
              <w:top w:val="single" w:color="FFFFFF" w:sz="4" w:space="0"/>
              <w:left w:val="single" w:color="FFFFFF" w:sz="4" w:space="0"/>
              <w:bottom w:val="single" w:color="FFFFFF" w:sz="4" w:space="0"/>
              <w:right w:val="single" w:color="FFFFFF" w:sz="4" w:space="0"/>
            </w:tcBorders>
            <w:noWrap/>
            <w:vAlign w:val="center"/>
          </w:tcPr>
          <w:p>
            <w:pPr>
              <w:widowControl/>
              <w:jc w:val="center"/>
              <w:textAlignment w:val="center"/>
              <w:rPr>
                <w:rFonts w:ascii="宋体" w:hAnsi="宋体" w:cs="宋体"/>
                <w:b/>
                <w:bCs/>
                <w:color w:val="000000"/>
                <w:sz w:val="32"/>
                <w:szCs w:val="32"/>
              </w:rPr>
            </w:pPr>
            <w:r>
              <w:rPr>
                <w:rFonts w:hint="eastAsia" w:ascii="宋体" w:hAnsi="宋体" w:cs="宋体"/>
                <w:b/>
                <w:bCs/>
                <w:color w:val="000000"/>
                <w:kern w:val="0"/>
                <w:sz w:val="32"/>
                <w:szCs w:val="32"/>
              </w:rPr>
              <w:t>财政拨款支出预算表（部门经济分类科目）</w:t>
            </w:r>
          </w:p>
        </w:tc>
      </w:tr>
      <w:tr>
        <w:tblPrEx>
          <w:tblCellMar>
            <w:top w:w="0" w:type="dxa"/>
            <w:left w:w="108" w:type="dxa"/>
            <w:bottom w:w="0" w:type="dxa"/>
            <w:right w:w="108" w:type="dxa"/>
          </w:tblCellMar>
        </w:tblPrEx>
        <w:trPr>
          <w:trHeight w:val="391" w:hRule="atLeast"/>
        </w:trPr>
        <w:tc>
          <w:tcPr>
            <w:tcW w:w="3389" w:type="dxa"/>
            <w:gridSpan w:val="4"/>
            <w:tcBorders>
              <w:top w:val="single" w:color="FFFFFF" w:sz="4" w:space="0"/>
              <w:left w:val="single" w:color="FFFFFF" w:sz="4" w:space="0"/>
              <w:bottom w:val="nil"/>
              <w:right w:val="single" w:color="FFFFFF" w:sz="4" w:space="0"/>
            </w:tcBorders>
            <w:noWrap/>
            <w:vAlign w:val="center"/>
          </w:tcPr>
          <w:p>
            <w:pPr>
              <w:widowControl/>
              <w:jc w:val="left"/>
              <w:textAlignment w:val="center"/>
              <w:rPr>
                <w:rFonts w:ascii="宋体" w:hAnsi="宋体" w:cs="宋体"/>
                <w:color w:val="000000"/>
                <w:sz w:val="22"/>
                <w:szCs w:val="22"/>
              </w:rPr>
            </w:pPr>
          </w:p>
        </w:tc>
        <w:tc>
          <w:tcPr>
            <w:tcW w:w="1110"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945" w:type="dxa"/>
            <w:tcBorders>
              <w:top w:val="single" w:color="FFFFFF" w:sz="4" w:space="0"/>
              <w:left w:val="single" w:color="FFFFFF" w:sz="4" w:space="0"/>
              <w:bottom w:val="nil"/>
              <w:right w:val="single" w:color="FFFFFF" w:sz="4" w:space="0"/>
            </w:tcBorders>
            <w:noWrap/>
            <w:vAlign w:val="center"/>
          </w:tcPr>
          <w:p>
            <w:pPr>
              <w:rPr>
                <w:rFonts w:ascii="宋体" w:hAnsi="宋体" w:cs="宋体"/>
                <w:color w:val="000000"/>
                <w:sz w:val="18"/>
                <w:szCs w:val="18"/>
              </w:rPr>
            </w:pPr>
          </w:p>
        </w:tc>
        <w:tc>
          <w:tcPr>
            <w:tcW w:w="945" w:type="dxa"/>
            <w:tcBorders>
              <w:top w:val="single" w:color="FFFFFF" w:sz="4" w:space="0"/>
              <w:left w:val="single" w:color="FFFFFF" w:sz="4" w:space="0"/>
              <w:bottom w:val="nil"/>
              <w:right w:val="single" w:color="FFFFFF" w:sz="4" w:space="0"/>
            </w:tcBorders>
            <w:noWrap/>
            <w:vAlign w:val="center"/>
          </w:tcPr>
          <w:p>
            <w:pPr>
              <w:jc w:val="right"/>
              <w:rPr>
                <w:rFonts w:ascii="宋体" w:hAnsi="宋体" w:cs="宋体"/>
                <w:color w:val="000000"/>
                <w:sz w:val="22"/>
                <w:szCs w:val="22"/>
              </w:rPr>
            </w:pPr>
          </w:p>
        </w:tc>
        <w:tc>
          <w:tcPr>
            <w:tcW w:w="1050" w:type="dxa"/>
            <w:gridSpan w:val="2"/>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960" w:type="dxa"/>
            <w:gridSpan w:val="2"/>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236" w:type="dxa"/>
            <w:gridSpan w:val="2"/>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297"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7"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8"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8"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c>
          <w:tcPr>
            <w:tcW w:w="389" w:type="dxa"/>
            <w:tcBorders>
              <w:top w:val="single" w:color="FFFFFF" w:sz="4" w:space="0"/>
              <w:left w:val="single" w:color="FFFFFF" w:sz="4" w:space="0"/>
              <w:bottom w:val="nil"/>
              <w:right w:val="single" w:color="FFFFFF" w:sz="4" w:space="0"/>
            </w:tcBorders>
            <w:vAlign w:val="center"/>
          </w:tcPr>
          <w:p>
            <w:pPr>
              <w:rPr>
                <w:rFonts w:ascii="宋体" w:hAnsi="宋体" w:cs="宋体"/>
                <w:color w:val="000000"/>
                <w:sz w:val="18"/>
                <w:szCs w:val="18"/>
              </w:rPr>
            </w:pPr>
          </w:p>
        </w:tc>
      </w:tr>
      <w:tr>
        <w:tblPrEx>
          <w:tblCellMar>
            <w:top w:w="0" w:type="dxa"/>
            <w:left w:w="108" w:type="dxa"/>
            <w:bottom w:w="0" w:type="dxa"/>
            <w:right w:w="108" w:type="dxa"/>
          </w:tblCellMar>
        </w:tblPrEx>
        <w:trPr>
          <w:trHeight w:val="488" w:hRule="atLeast"/>
        </w:trPr>
        <w:tc>
          <w:tcPr>
            <w:tcW w:w="338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项    目</w:t>
            </w: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总计</w:t>
            </w:r>
          </w:p>
        </w:tc>
        <w:tc>
          <w:tcPr>
            <w:tcW w:w="5981" w:type="dxa"/>
            <w:gridSpan w:val="1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市级当年财政拨款安排</w:t>
            </w:r>
          </w:p>
        </w:tc>
        <w:tc>
          <w:tcPr>
            <w:tcW w:w="3884" w:type="dxa"/>
            <w:gridSpan w:val="10"/>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中央提前通知专项转移支付等</w:t>
            </w:r>
          </w:p>
        </w:tc>
      </w:tr>
      <w:tr>
        <w:tblPrEx>
          <w:tblCellMar>
            <w:top w:w="0" w:type="dxa"/>
            <w:left w:w="108" w:type="dxa"/>
            <w:bottom w:w="0" w:type="dxa"/>
            <w:right w:w="108" w:type="dxa"/>
          </w:tblCellMar>
        </w:tblPrEx>
        <w:trPr>
          <w:trHeight w:val="720" w:hRule="atLeast"/>
        </w:trPr>
        <w:tc>
          <w:tcPr>
            <w:tcW w:w="100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科目编码</w:t>
            </w:r>
          </w:p>
        </w:tc>
        <w:tc>
          <w:tcPr>
            <w:tcW w:w="77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单位代码</w:t>
            </w:r>
          </w:p>
        </w:tc>
        <w:tc>
          <w:tcPr>
            <w:tcW w:w="160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单位名称（科目）</w:t>
            </w: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b/>
                <w:bCs/>
                <w:color w:val="000000"/>
                <w:sz w:val="16"/>
                <w:szCs w:val="16"/>
              </w:rPr>
            </w:pPr>
          </w:p>
        </w:tc>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合计</w:t>
            </w:r>
          </w:p>
        </w:tc>
        <w:tc>
          <w:tcPr>
            <w:tcW w:w="2506"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一般公共预算拨款</w:t>
            </w:r>
          </w:p>
        </w:tc>
        <w:tc>
          <w:tcPr>
            <w:tcW w:w="1369"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政府性基金安排</w:t>
            </w:r>
          </w:p>
        </w:tc>
        <w:tc>
          <w:tcPr>
            <w:tcW w:w="11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国有资本经营预算安排</w:t>
            </w:r>
          </w:p>
        </w:tc>
        <w:tc>
          <w:tcPr>
            <w:tcW w:w="3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合计</w:t>
            </w:r>
          </w:p>
        </w:tc>
        <w:tc>
          <w:tcPr>
            <w:tcW w:w="116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一般公共预算拨款</w:t>
            </w:r>
          </w:p>
        </w:tc>
        <w:tc>
          <w:tcPr>
            <w:tcW w:w="116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政府性基金安排</w:t>
            </w:r>
          </w:p>
        </w:tc>
        <w:tc>
          <w:tcPr>
            <w:tcW w:w="116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国有资本经营预算安排</w:t>
            </w:r>
          </w:p>
        </w:tc>
      </w:tr>
      <w:tr>
        <w:tblPrEx>
          <w:tblCellMar>
            <w:top w:w="0" w:type="dxa"/>
            <w:left w:w="108" w:type="dxa"/>
            <w:bottom w:w="0" w:type="dxa"/>
            <w:right w:w="108" w:type="dxa"/>
          </w:tblCellMar>
        </w:tblPrEx>
        <w:trPr>
          <w:trHeight w:val="780" w:hRule="atLeast"/>
        </w:trPr>
        <w:tc>
          <w:tcPr>
            <w:tcW w:w="5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类</w:t>
            </w:r>
          </w:p>
        </w:tc>
        <w:tc>
          <w:tcPr>
            <w:tcW w:w="5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款</w:t>
            </w:r>
          </w:p>
        </w:tc>
        <w:tc>
          <w:tcPr>
            <w:tcW w:w="77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b/>
                <w:bCs/>
                <w:color w:val="000000"/>
                <w:sz w:val="16"/>
                <w:szCs w:val="16"/>
              </w:rPr>
            </w:pPr>
          </w:p>
        </w:tc>
        <w:tc>
          <w:tcPr>
            <w:tcW w:w="16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b/>
                <w:bCs/>
                <w:color w:val="000000"/>
                <w:sz w:val="16"/>
                <w:szCs w:val="16"/>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b/>
                <w:bCs/>
                <w:color w:val="000000"/>
                <w:sz w:val="16"/>
                <w:szCs w:val="16"/>
              </w:rPr>
            </w:pPr>
          </w:p>
        </w:tc>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b/>
                <w:bCs/>
                <w:color w:val="000000"/>
                <w:sz w:val="16"/>
                <w:szCs w:val="16"/>
              </w:rPr>
            </w:pP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小计</w:t>
            </w:r>
          </w:p>
        </w:tc>
        <w:tc>
          <w:tcPr>
            <w:tcW w:w="8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基本支出</w:t>
            </w:r>
          </w:p>
        </w:tc>
        <w:tc>
          <w:tcPr>
            <w:tcW w:w="70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项目支出</w:t>
            </w:r>
          </w:p>
        </w:tc>
        <w:tc>
          <w:tcPr>
            <w:tcW w:w="5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小计</w:t>
            </w:r>
          </w:p>
        </w:tc>
        <w:tc>
          <w:tcPr>
            <w:tcW w:w="4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基本支出</w:t>
            </w:r>
          </w:p>
        </w:tc>
        <w:tc>
          <w:tcPr>
            <w:tcW w:w="3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项目支出</w:t>
            </w:r>
          </w:p>
        </w:tc>
        <w:tc>
          <w:tcPr>
            <w:tcW w:w="3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小计</w:t>
            </w:r>
          </w:p>
        </w:tc>
        <w:tc>
          <w:tcPr>
            <w:tcW w:w="3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kern w:val="0"/>
                <w:sz w:val="16"/>
                <w:szCs w:val="16"/>
              </w:rPr>
            </w:pPr>
            <w:r>
              <w:rPr>
                <w:rFonts w:hint="eastAsia" w:ascii="宋体" w:hAnsi="宋体" w:cs="宋体"/>
                <w:b/>
                <w:bCs/>
                <w:color w:val="000000"/>
                <w:kern w:val="0"/>
                <w:sz w:val="16"/>
                <w:szCs w:val="16"/>
              </w:rPr>
              <w:t>基本</w:t>
            </w:r>
          </w:p>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支出</w:t>
            </w:r>
          </w:p>
        </w:tc>
        <w:tc>
          <w:tcPr>
            <w:tcW w:w="3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kern w:val="0"/>
                <w:sz w:val="16"/>
                <w:szCs w:val="16"/>
              </w:rPr>
            </w:pPr>
            <w:r>
              <w:rPr>
                <w:rFonts w:hint="eastAsia" w:ascii="宋体" w:hAnsi="宋体" w:cs="宋体"/>
                <w:b/>
                <w:bCs/>
                <w:color w:val="000000"/>
                <w:kern w:val="0"/>
                <w:sz w:val="16"/>
                <w:szCs w:val="16"/>
              </w:rPr>
              <w:t>项目</w:t>
            </w:r>
          </w:p>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支出</w:t>
            </w:r>
          </w:p>
        </w:tc>
        <w:tc>
          <w:tcPr>
            <w:tcW w:w="387" w:type="dxa"/>
            <w:tcBorders>
              <w:top w:val="single" w:color="000000" w:sz="4" w:space="0"/>
              <w:left w:val="single" w:color="000000" w:sz="4" w:space="0"/>
              <w:right w:val="single" w:color="000000" w:sz="4" w:space="0"/>
            </w:tcBorders>
            <w:vAlign w:val="center"/>
          </w:tcPr>
          <w:p>
            <w:pPr>
              <w:jc w:val="center"/>
              <w:rPr>
                <w:rFonts w:ascii="宋体" w:hAnsi="宋体" w:cs="宋体"/>
                <w:b/>
                <w:bCs/>
                <w:color w:val="000000"/>
                <w:sz w:val="16"/>
                <w:szCs w:val="16"/>
              </w:rPr>
            </w:pPr>
          </w:p>
        </w:tc>
        <w:tc>
          <w:tcPr>
            <w:tcW w:w="3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小计</w:t>
            </w:r>
          </w:p>
        </w:tc>
        <w:tc>
          <w:tcPr>
            <w:tcW w:w="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基本支出</w:t>
            </w:r>
          </w:p>
        </w:tc>
        <w:tc>
          <w:tcPr>
            <w:tcW w:w="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项目支出</w:t>
            </w:r>
          </w:p>
        </w:tc>
        <w:tc>
          <w:tcPr>
            <w:tcW w:w="3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小计</w:t>
            </w:r>
          </w:p>
        </w:tc>
        <w:tc>
          <w:tcPr>
            <w:tcW w:w="3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基本支出</w:t>
            </w:r>
          </w:p>
        </w:tc>
        <w:tc>
          <w:tcPr>
            <w:tcW w:w="3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项目支出</w:t>
            </w:r>
          </w:p>
        </w:tc>
        <w:tc>
          <w:tcPr>
            <w:tcW w:w="3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小计</w:t>
            </w:r>
          </w:p>
        </w:tc>
        <w:tc>
          <w:tcPr>
            <w:tcW w:w="3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kern w:val="0"/>
                <w:sz w:val="16"/>
                <w:szCs w:val="16"/>
              </w:rPr>
            </w:pPr>
            <w:r>
              <w:rPr>
                <w:rFonts w:hint="eastAsia" w:ascii="宋体" w:hAnsi="宋体" w:cs="宋体"/>
                <w:b/>
                <w:bCs/>
                <w:color w:val="000000"/>
                <w:kern w:val="0"/>
                <w:sz w:val="16"/>
                <w:szCs w:val="16"/>
              </w:rPr>
              <w:t>基本</w:t>
            </w:r>
          </w:p>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支出</w:t>
            </w:r>
          </w:p>
        </w:tc>
        <w:tc>
          <w:tcPr>
            <w:tcW w:w="3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kern w:val="0"/>
                <w:sz w:val="16"/>
                <w:szCs w:val="16"/>
              </w:rPr>
            </w:pPr>
            <w:r>
              <w:rPr>
                <w:rFonts w:hint="eastAsia" w:ascii="宋体" w:hAnsi="宋体" w:cs="宋体"/>
                <w:b/>
                <w:bCs/>
                <w:color w:val="000000"/>
                <w:kern w:val="0"/>
                <w:sz w:val="16"/>
                <w:szCs w:val="16"/>
              </w:rPr>
              <w:t>项目</w:t>
            </w:r>
          </w:p>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支出</w:t>
            </w: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b/>
                <w:bCs/>
                <w:color w:val="000000"/>
                <w:sz w:val="22"/>
                <w:szCs w:val="22"/>
              </w:rPr>
            </w:pPr>
          </w:p>
        </w:tc>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b/>
                <w:bCs/>
                <w:color w:val="000000"/>
                <w:sz w:val="22"/>
                <w:szCs w:val="22"/>
              </w:rPr>
            </w:pPr>
          </w:p>
        </w:tc>
        <w:tc>
          <w:tcPr>
            <w:tcW w:w="77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b/>
                <w:bCs/>
                <w:color w:val="000000"/>
                <w:sz w:val="22"/>
                <w:szCs w:val="22"/>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b/>
                <w:bCs/>
                <w:color w:val="000000"/>
                <w:sz w:val="16"/>
                <w:szCs w:val="16"/>
              </w:rPr>
            </w:pPr>
            <w:r>
              <w:rPr>
                <w:rFonts w:hint="eastAsia" w:cs="宋体" w:asciiTheme="minorEastAsia" w:hAnsiTheme="minorEastAsia" w:eastAsiaTheme="minorEastAsia"/>
                <w:b/>
                <w:bCs/>
                <w:color w:val="000000"/>
                <w:kern w:val="0"/>
                <w:sz w:val="16"/>
                <w:szCs w:val="16"/>
              </w:rPr>
              <w:t>合    计</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b/>
                <w:bCs/>
                <w:color w:val="000000"/>
                <w:sz w:val="16"/>
                <w:szCs w:val="16"/>
              </w:rPr>
            </w:pPr>
            <w:r>
              <w:rPr>
                <w:rFonts w:hint="eastAsia" w:asciiTheme="minorEastAsia" w:hAnsiTheme="minorEastAsia" w:eastAsiaTheme="minorEastAsia"/>
                <w:b/>
                <w:bCs/>
                <w:color w:val="000000"/>
                <w:sz w:val="16"/>
                <w:szCs w:val="16"/>
              </w:rPr>
              <w:t>542.74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b/>
                <w:bCs/>
                <w:color w:val="000000"/>
                <w:sz w:val="16"/>
                <w:szCs w:val="16"/>
              </w:rPr>
            </w:pPr>
            <w:r>
              <w:rPr>
                <w:rFonts w:hint="eastAsia" w:asciiTheme="minorEastAsia" w:hAnsiTheme="minorEastAsia" w:eastAsiaTheme="minorEastAsia"/>
                <w:b/>
                <w:bCs/>
                <w:color w:val="000000"/>
                <w:sz w:val="16"/>
                <w:szCs w:val="16"/>
              </w:rPr>
              <w:t>542.74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b/>
                <w:bCs/>
                <w:color w:val="000000"/>
                <w:sz w:val="16"/>
                <w:szCs w:val="16"/>
              </w:rPr>
            </w:pPr>
            <w:r>
              <w:rPr>
                <w:rFonts w:hint="eastAsia" w:asciiTheme="minorEastAsia" w:hAnsiTheme="minorEastAsia" w:eastAsiaTheme="minorEastAsia"/>
                <w:b/>
                <w:bCs/>
                <w:color w:val="000000"/>
                <w:sz w:val="16"/>
                <w:szCs w:val="16"/>
              </w:rPr>
              <w:t>542.74</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b/>
                <w:bCs/>
                <w:color w:val="000000"/>
                <w:sz w:val="16"/>
                <w:szCs w:val="16"/>
              </w:rPr>
            </w:pPr>
            <w:r>
              <w:rPr>
                <w:rFonts w:hint="eastAsia" w:asciiTheme="minorEastAsia" w:hAnsiTheme="minorEastAsia" w:eastAsiaTheme="minorEastAsia"/>
                <w:b/>
                <w:bCs/>
                <w:color w:val="000000"/>
                <w:sz w:val="16"/>
                <w:szCs w:val="16"/>
              </w:rPr>
              <w:t>456.74</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b/>
                <w:bCs/>
                <w:color w:val="000000"/>
                <w:sz w:val="16"/>
                <w:szCs w:val="16"/>
              </w:rPr>
            </w:pPr>
            <w:r>
              <w:rPr>
                <w:rFonts w:hint="eastAsia" w:asciiTheme="minorEastAsia" w:hAnsiTheme="minorEastAsia" w:eastAsiaTheme="minorEastAsia"/>
                <w:b/>
                <w:bCs/>
                <w:color w:val="000000"/>
                <w:sz w:val="16"/>
                <w:szCs w:val="16"/>
              </w:rPr>
              <w:t>86.00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szCs w:val="22"/>
              </w:rPr>
            </w:pPr>
            <w:r>
              <w:rPr>
                <w:rFonts w:hint="eastAsia"/>
                <w:color w:val="000000"/>
                <w:sz w:val="22"/>
                <w:szCs w:val="22"/>
              </w:rPr>
              <w:t>　</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szCs w:val="22"/>
              </w:rPr>
            </w:pPr>
            <w:r>
              <w:rPr>
                <w:rFonts w:hint="eastAsia"/>
                <w:color w:val="000000"/>
                <w:sz w:val="22"/>
                <w:szCs w:val="22"/>
              </w:rPr>
              <w:t>　</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sz w:val="22"/>
                <w:szCs w:val="22"/>
              </w:rPr>
            </w:pPr>
            <w:r>
              <w:rPr>
                <w:rFonts w:hint="eastAsia"/>
                <w:color w:val="000000"/>
                <w:sz w:val="22"/>
                <w:szCs w:val="22"/>
              </w:rPr>
              <w:t>　</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　</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542.74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542.74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542.74</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456.74</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86.00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szCs w:val="22"/>
              </w:rPr>
            </w:pPr>
            <w:r>
              <w:rPr>
                <w:rFonts w:hint="eastAsia"/>
                <w:color w:val="000000"/>
                <w:sz w:val="22"/>
                <w:szCs w:val="22"/>
              </w:rPr>
              <w:t>　</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szCs w:val="22"/>
              </w:rPr>
            </w:pPr>
            <w:r>
              <w:rPr>
                <w:rFonts w:hint="eastAsia"/>
                <w:color w:val="000000"/>
                <w:sz w:val="22"/>
                <w:szCs w:val="22"/>
              </w:rPr>
              <w:t>　</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color w:val="000000"/>
                <w:sz w:val="22"/>
                <w:szCs w:val="22"/>
              </w:rPr>
            </w:pPr>
            <w:r>
              <w:rPr>
                <w:rFonts w:hint="eastAsia"/>
                <w:color w:val="000000"/>
                <w:sz w:val="22"/>
                <w:szCs w:val="22"/>
              </w:rPr>
              <w:t>　</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rPr>
                <w:rFonts w:cs="宋体" w:asciiTheme="minorEastAsia" w:hAnsiTheme="minorEastAsia" w:eastAsiaTheme="minorEastAsia"/>
                <w:color w:val="000000"/>
                <w:sz w:val="16"/>
                <w:szCs w:val="16"/>
              </w:rPr>
            </w:pPr>
            <w:r>
              <w:rPr>
                <w:rFonts w:cs="Arial" w:asciiTheme="minorEastAsia" w:hAnsiTheme="minorEastAsia" w:eastAsiaTheme="minorEastAsia"/>
                <w:color w:val="000000"/>
                <w:sz w:val="16"/>
                <w:szCs w:val="16"/>
              </w:rPr>
              <w:t> 广元市产品质量监督检验所</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542.74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542.74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542.74</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456.74</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rPr>
              <w:t>86.00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6"/>
                <w:szCs w:val="16"/>
              </w:rPr>
            </w:pPr>
          </w:p>
        </w:tc>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6"/>
                <w:szCs w:val="16"/>
              </w:rPr>
            </w:pPr>
          </w:p>
        </w:tc>
        <w:tc>
          <w:tcPr>
            <w:tcW w:w="776"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sz w:val="16"/>
                <w:szCs w:val="16"/>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工资福利支出</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389.96</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389.96</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389.96</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389.96</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基本工资</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105.84</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105.84</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晋级工资</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基本工资</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104.54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104.54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104.54</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104.54</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02</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津贴补贴</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3.93</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3.93</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3.93</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3.93</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02</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其他津贴补贴（含工改、审计等）</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3.93</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3.93</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3.93</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3.93</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03</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奖金</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99.21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99.21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99.21</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99.21</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03</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基础绩效奖</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80.01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80.01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80.01</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80.01</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03</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事业人员年度考核奖</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19.20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19.20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19.20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19.20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07</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绩效工资</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69.61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69.61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69.61</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69.61</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08</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机关事业单位基本养老保险缴费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41.04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41.04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41.04</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41.04</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职业年金缴费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20.52</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20.52</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20.52</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20.52</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10</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职工基本医疗保险缴费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13.24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13.24</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13.24</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13.24</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12</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其他社会保障缴费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1.57</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1.57</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1.57</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1.57</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12</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失业保险</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1.06</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1.06</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1.06</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1.06</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12</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工伤保险</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0.51</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0.51</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301</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13</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住房公积金</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35.00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35.00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35.00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35.00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cs="宋体" w:asciiTheme="minorEastAsia" w:hAnsiTheme="minorEastAsia" w:eastAsiaTheme="minorEastAsia"/>
                <w:color w:val="000000"/>
                <w:sz w:val="16"/>
                <w:szCs w:val="16"/>
              </w:rPr>
            </w:pPr>
          </w:p>
        </w:tc>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cs="宋体" w:asciiTheme="minorEastAsia" w:hAnsiTheme="minorEastAsia" w:eastAsiaTheme="minorEastAsia"/>
                <w:color w:val="000000"/>
                <w:sz w:val="16"/>
                <w:szCs w:val="16"/>
              </w:rPr>
            </w:pPr>
          </w:p>
        </w:tc>
        <w:tc>
          <w:tcPr>
            <w:tcW w:w="776"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sz w:val="16"/>
                <w:szCs w:val="16"/>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商品和服务支出</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131.19</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131.19</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131.19</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56.19</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75.00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办公费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2.00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02</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印刷费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1.00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04</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手续费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0.30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0.30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0.30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0.30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05</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水费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06</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电费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color w:val="000000"/>
                <w:sz w:val="16"/>
                <w:szCs w:val="16"/>
              </w:rPr>
            </w:pP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0.50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07</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邮电费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3.60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3.60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3.60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2.60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物业管理费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差旅费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17.00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17.00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17.00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11.00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13</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维修（护）费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14.00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14.00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14.00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11.00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16</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培训费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17</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公务接待费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0.88</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0.88</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0.88</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0.88</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18</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专用材料费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color w:val="000000"/>
                <w:sz w:val="16"/>
                <w:szCs w:val="16"/>
              </w:rPr>
            </w:pP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15.00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26</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劳务费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10.52</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10.52</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10.52</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0.52</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10.00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27</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委托业务费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5.70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5.70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5.70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3.70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28</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工会经费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2.12</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2.12</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2.12</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2.12</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29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福利费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13.21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13.21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13.21</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13.21</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29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福利费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3.21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3.21</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3.21</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3.21</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29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食堂补助经费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公务用车运行维护费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其他交通费用</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15.40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15.40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15.40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6.00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9.40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40</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税金及附加费用</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2.00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color w:val="000000"/>
                <w:sz w:val="16"/>
                <w:szCs w:val="16"/>
              </w:rPr>
            </w:pP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2.00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99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其他商品和服务支出</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10.47</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10.47</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10.47</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6.67</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3.80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99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党建经费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4.40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4.40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4.40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4.40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99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退休人员活动经费</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0.47</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0.47</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0.47</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0.47</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302</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99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其他商品和服务支出</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5.60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5.60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5.60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1.80</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3.80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cs="宋体" w:asciiTheme="minorEastAsia" w:hAnsiTheme="minorEastAsia" w:eastAsiaTheme="minorEastAsia"/>
                <w:color w:val="000000"/>
                <w:sz w:val="16"/>
                <w:szCs w:val="16"/>
              </w:rPr>
            </w:pPr>
          </w:p>
        </w:tc>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cs="宋体" w:asciiTheme="minorEastAsia" w:hAnsiTheme="minorEastAsia" w:eastAsiaTheme="minorEastAsia"/>
                <w:color w:val="000000"/>
                <w:sz w:val="16"/>
                <w:szCs w:val="16"/>
              </w:rPr>
            </w:pPr>
          </w:p>
        </w:tc>
        <w:tc>
          <w:tcPr>
            <w:tcW w:w="776"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sz w:val="16"/>
                <w:szCs w:val="16"/>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对个人和家庭的补助</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303</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05</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生活补助</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303</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05</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定补退休绩效补助</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10.58</w:t>
            </w: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cs="宋体" w:asciiTheme="minorEastAsia" w:hAnsiTheme="minorEastAsia" w:eastAsiaTheme="minorEastAsia"/>
                <w:color w:val="000000"/>
                <w:sz w:val="16"/>
                <w:szCs w:val="16"/>
              </w:rPr>
            </w:pP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cs="宋体" w:asciiTheme="minorEastAsia" w:hAnsiTheme="minorEastAsia" w:eastAsiaTheme="minorEastAsia"/>
                <w:color w:val="000000"/>
                <w:sz w:val="16"/>
                <w:szCs w:val="16"/>
              </w:rPr>
            </w:pPr>
          </w:p>
        </w:tc>
        <w:tc>
          <w:tcPr>
            <w:tcW w:w="504" w:type="dxa"/>
            <w:tcBorders>
              <w:top w:val="single" w:color="000000" w:sz="4" w:space="0"/>
              <w:left w:val="single" w:color="000000" w:sz="4" w:space="0"/>
              <w:bottom w:val="single" w:color="000000" w:sz="4" w:space="0"/>
              <w:right w:val="single" w:color="000000" w:sz="4" w:space="0"/>
            </w:tcBorders>
            <w:noWrap/>
            <w:vAlign w:val="center"/>
          </w:tcPr>
          <w:p>
            <w:pPr>
              <w:jc w:val="center"/>
              <w:rPr>
                <w:rFonts w:cs="宋体" w:asciiTheme="minorEastAsia" w:hAnsiTheme="minorEastAsia" w:eastAsiaTheme="minorEastAsia"/>
                <w:color w:val="000000"/>
                <w:sz w:val="16"/>
                <w:szCs w:val="16"/>
              </w:rPr>
            </w:pPr>
          </w:p>
        </w:tc>
        <w:tc>
          <w:tcPr>
            <w:tcW w:w="776"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color w:val="000000"/>
                <w:sz w:val="16"/>
                <w:szCs w:val="16"/>
              </w:rPr>
            </w:pP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资本性支出</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11.00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11.00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11.00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color w:val="000000"/>
                <w:sz w:val="16"/>
                <w:szCs w:val="16"/>
              </w:rPr>
            </w:pP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11.00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310</w:t>
            </w:r>
          </w:p>
        </w:tc>
        <w:tc>
          <w:tcPr>
            <w:tcW w:w="5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cs="宋体" w:asciiTheme="minorEastAsia" w:hAnsiTheme="minorEastAsia" w:eastAsiaTheme="minorEastAsia"/>
                <w:color w:val="000000"/>
                <w:sz w:val="16"/>
                <w:szCs w:val="16"/>
              </w:rPr>
            </w:pPr>
            <w:r>
              <w:rPr>
                <w:rStyle w:val="30"/>
                <w:rFonts w:hint="eastAsia" w:asciiTheme="minorEastAsia" w:hAnsiTheme="minorEastAsia" w:eastAsiaTheme="minorEastAsia"/>
                <w:sz w:val="16"/>
                <w:szCs w:val="16"/>
              </w:rPr>
              <w:t>03</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rPr>
              <w:t>359304</w:t>
            </w:r>
          </w:p>
        </w:tc>
        <w:tc>
          <w:tcPr>
            <w:tcW w:w="160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color w:val="000000"/>
                <w:sz w:val="16"/>
                <w:szCs w:val="16"/>
              </w:rPr>
            </w:pPr>
            <w:r>
              <w:rPr>
                <w:rStyle w:val="29"/>
                <w:rFonts w:hint="eastAsia" w:ascii="宋体" w:hAnsi="宋体" w:eastAsia="宋体" w:cs="宋体"/>
                <w:sz w:val="16"/>
                <w:szCs w:val="16"/>
              </w:rPr>
              <w:t>专用设备购置</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11.00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11.00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sz w:val="16"/>
                <w:szCs w:val="16"/>
              </w:rPr>
            </w:pPr>
            <w:r>
              <w:rPr>
                <w:rFonts w:hint="eastAsia" w:ascii="宋体" w:hAnsi="宋体" w:cs="宋体"/>
                <w:color w:val="000000"/>
                <w:kern w:val="0"/>
                <w:sz w:val="16"/>
                <w:szCs w:val="16"/>
              </w:rPr>
              <w:t>11.00</w:t>
            </w:r>
          </w:p>
        </w:tc>
        <w:tc>
          <w:tcPr>
            <w:tcW w:w="853"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color w:val="000000"/>
                <w:sz w:val="16"/>
                <w:szCs w:val="16"/>
              </w:rPr>
            </w:pPr>
          </w:p>
        </w:tc>
        <w:tc>
          <w:tcPr>
            <w:tcW w:w="70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cs="宋体" w:asciiTheme="minorEastAsia" w:hAnsiTheme="minorEastAsia" w:eastAsiaTheme="minorEastAsia"/>
                <w:color w:val="000000"/>
                <w:sz w:val="16"/>
                <w:szCs w:val="16"/>
              </w:rPr>
            </w:pPr>
            <w:r>
              <w:rPr>
                <w:rFonts w:hint="eastAsia" w:cs="宋体" w:asciiTheme="minorEastAsia" w:hAnsiTheme="minorEastAsia" w:eastAsiaTheme="minorEastAsia"/>
                <w:color w:val="000000"/>
                <w:kern w:val="0"/>
                <w:sz w:val="16"/>
                <w:szCs w:val="16"/>
              </w:rPr>
              <w:t>11.00</w:t>
            </w:r>
          </w:p>
        </w:tc>
        <w:tc>
          <w:tcPr>
            <w:tcW w:w="567"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415"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7"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8"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c>
          <w:tcPr>
            <w:tcW w:w="389"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hAnsi="宋体" w:cs="宋体"/>
                <w:b/>
                <w:bCs/>
                <w:color w:val="000000"/>
                <w:sz w:val="22"/>
                <w:szCs w:val="22"/>
              </w:rPr>
            </w:pPr>
          </w:p>
        </w:tc>
      </w:tr>
    </w:tbl>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tbl>
      <w:tblPr>
        <w:tblStyle w:val="13"/>
        <w:tblW w:w="13560" w:type="dxa"/>
        <w:tblInd w:w="96" w:type="dxa"/>
        <w:tblLayout w:type="autofit"/>
        <w:tblCellMar>
          <w:top w:w="0" w:type="dxa"/>
          <w:left w:w="108" w:type="dxa"/>
          <w:bottom w:w="0" w:type="dxa"/>
          <w:right w:w="108" w:type="dxa"/>
        </w:tblCellMar>
      </w:tblPr>
      <w:tblGrid>
        <w:gridCol w:w="761"/>
        <w:gridCol w:w="594"/>
        <w:gridCol w:w="594"/>
        <w:gridCol w:w="1320"/>
        <w:gridCol w:w="4559"/>
        <w:gridCol w:w="1179"/>
        <w:gridCol w:w="2253"/>
        <w:gridCol w:w="2300"/>
      </w:tblGrid>
      <w:tr>
        <w:tblPrEx>
          <w:tblCellMar>
            <w:top w:w="0" w:type="dxa"/>
            <w:left w:w="108" w:type="dxa"/>
            <w:bottom w:w="0" w:type="dxa"/>
            <w:right w:w="108" w:type="dxa"/>
          </w:tblCellMar>
        </w:tblPrEx>
        <w:trPr>
          <w:trHeight w:val="456" w:hRule="atLeast"/>
        </w:trPr>
        <w:tc>
          <w:tcPr>
            <w:tcW w:w="0" w:type="auto"/>
            <w:gridSpan w:val="8"/>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left"/>
              <w:textAlignment w:val="center"/>
              <w:rPr>
                <w:rFonts w:hint="default"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eastAsia="zh-CN"/>
              </w:rPr>
              <w:t>附表</w:t>
            </w:r>
            <w:r>
              <w:rPr>
                <w:rFonts w:hint="eastAsia" w:ascii="宋体" w:hAnsi="宋体" w:cs="宋体"/>
                <w:b w:val="0"/>
                <w:bCs w:val="0"/>
                <w:color w:val="000000"/>
                <w:kern w:val="0"/>
                <w:sz w:val="24"/>
                <w:szCs w:val="24"/>
                <w:lang w:val="en-US" w:eastAsia="zh-CN"/>
              </w:rPr>
              <w:t>6</w:t>
            </w:r>
          </w:p>
          <w:p>
            <w:pPr>
              <w:widowControl/>
              <w:jc w:val="center"/>
              <w:textAlignment w:val="center"/>
              <w:rPr>
                <w:rFonts w:ascii="宋体" w:hAnsi="宋体" w:cs="宋体"/>
                <w:b/>
                <w:bCs/>
                <w:color w:val="000000"/>
                <w:sz w:val="32"/>
                <w:szCs w:val="32"/>
              </w:rPr>
            </w:pPr>
            <w:r>
              <w:rPr>
                <w:rFonts w:hint="eastAsia" w:ascii="宋体" w:hAnsi="宋体" w:cs="宋体"/>
                <w:b/>
                <w:bCs/>
                <w:color w:val="000000"/>
                <w:kern w:val="0"/>
                <w:sz w:val="32"/>
                <w:szCs w:val="32"/>
              </w:rPr>
              <w:t>一般公共预算支出预算表</w:t>
            </w:r>
          </w:p>
        </w:tc>
      </w:tr>
      <w:tr>
        <w:tblPrEx>
          <w:tblCellMar>
            <w:top w:w="0" w:type="dxa"/>
            <w:left w:w="108" w:type="dxa"/>
            <w:bottom w:w="0" w:type="dxa"/>
            <w:right w:w="108" w:type="dxa"/>
          </w:tblCellMar>
        </w:tblPrEx>
        <w:trPr>
          <w:trHeight w:val="391" w:hRule="atLeast"/>
        </w:trPr>
        <w:tc>
          <w:tcPr>
            <w:tcW w:w="0" w:type="auto"/>
            <w:gridSpan w:val="5"/>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sz w:val="18"/>
                <w:szCs w:val="18"/>
              </w:rPr>
            </w:pPr>
          </w:p>
        </w:tc>
        <w:tc>
          <w:tcPr>
            <w:tcW w:w="0" w:type="auto"/>
            <w:tcBorders>
              <w:top w:val="nil"/>
              <w:left w:val="nil"/>
              <w:bottom w:val="nil"/>
              <w:right w:val="nil"/>
            </w:tcBorders>
            <w:shd w:val="clear" w:color="auto" w:fill="auto"/>
            <w:noWrap/>
            <w:vAlign w:val="center"/>
          </w:tcPr>
          <w:p>
            <w:pP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widowControl/>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108" w:type="dxa"/>
            <w:bottom w:w="0" w:type="dxa"/>
            <w:right w:w="108" w:type="dxa"/>
          </w:tblCellMar>
        </w:tblPrEx>
        <w:trPr>
          <w:trHeight w:val="488"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    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合计</w:t>
            </w:r>
          </w:p>
        </w:tc>
        <w:tc>
          <w:tcPr>
            <w:tcW w:w="22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当年财政拨款安排</w:t>
            </w:r>
          </w:p>
        </w:tc>
        <w:tc>
          <w:tcPr>
            <w:tcW w:w="22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上年结转安排</w:t>
            </w:r>
          </w:p>
        </w:tc>
      </w:tr>
      <w:tr>
        <w:tblPrEx>
          <w:tblCellMar>
            <w:top w:w="0" w:type="dxa"/>
            <w:left w:w="108" w:type="dxa"/>
            <w:bottom w:w="0" w:type="dxa"/>
            <w:right w:w="108" w:type="dxa"/>
          </w:tblCellMar>
        </w:tblPrEx>
        <w:trPr>
          <w:trHeight w:val="48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科目编码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单位名称（科目）</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22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sz w:val="22"/>
                <w:szCs w:val="22"/>
              </w:rPr>
            </w:pPr>
          </w:p>
        </w:tc>
        <w:tc>
          <w:tcPr>
            <w:tcW w:w="22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trHeight w:val="4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22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sz w:val="22"/>
                <w:szCs w:val="22"/>
              </w:rPr>
            </w:pPr>
          </w:p>
        </w:tc>
        <w:tc>
          <w:tcPr>
            <w:tcW w:w="22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广元市市场监督管理局部门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542.74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事业运行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345.37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345.37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其他市场监督管理事务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其他社会保障和就业支出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bl>
    <w:p>
      <w:pPr>
        <w:rPr>
          <w:rFonts w:ascii="仿宋_GB2312" w:hAnsi="仿宋_GB2312" w:eastAsia="仿宋_GB2312" w:cs="仿宋_GB2312"/>
          <w:sz w:val="32"/>
          <w:szCs w:val="32"/>
        </w:rPr>
      </w:pPr>
    </w:p>
    <w:tbl>
      <w:tblPr>
        <w:tblStyle w:val="13"/>
        <w:tblW w:w="14017" w:type="dxa"/>
        <w:tblInd w:w="96" w:type="dxa"/>
        <w:tblLayout w:type="autofit"/>
        <w:tblCellMar>
          <w:top w:w="0" w:type="dxa"/>
          <w:left w:w="108" w:type="dxa"/>
          <w:bottom w:w="0" w:type="dxa"/>
          <w:right w:w="108" w:type="dxa"/>
        </w:tblCellMar>
      </w:tblPr>
      <w:tblGrid>
        <w:gridCol w:w="743"/>
        <w:gridCol w:w="587"/>
        <w:gridCol w:w="2630"/>
        <w:gridCol w:w="4426"/>
        <w:gridCol w:w="1877"/>
        <w:gridCol w:w="1877"/>
        <w:gridCol w:w="1877"/>
      </w:tblGrid>
      <w:tr>
        <w:tblPrEx>
          <w:tblCellMar>
            <w:top w:w="0" w:type="dxa"/>
            <w:left w:w="108" w:type="dxa"/>
            <w:bottom w:w="0" w:type="dxa"/>
            <w:right w:w="108" w:type="dxa"/>
          </w:tblCellMar>
        </w:tblPrEx>
        <w:trPr>
          <w:trHeight w:val="500" w:hRule="atLeast"/>
        </w:trPr>
        <w:tc>
          <w:tcPr>
            <w:tcW w:w="1330" w:type="dxa"/>
            <w:gridSpan w:val="2"/>
            <w:tcBorders>
              <w:top w:val="single" w:color="FFFFFF" w:sz="4" w:space="0"/>
              <w:left w:val="single" w:color="FFFFFF" w:sz="4" w:space="0"/>
              <w:bottom w:val="single" w:color="FFFFFF" w:sz="4" w:space="0"/>
              <w:right w:val="single" w:color="FFFFFF" w:sz="4" w:space="0"/>
            </w:tcBorders>
            <w:shd w:val="clear" w:color="auto" w:fill="auto"/>
            <w:noWrap/>
            <w:vAlign w:val="center"/>
          </w:tcPr>
          <w:p>
            <w:pPr>
              <w:rPr>
                <w:rFonts w:ascii="方正黑体简体" w:hAnsi="方正黑体简体" w:eastAsia="方正黑体简体" w:cs="方正黑体简体"/>
                <w:color w:val="000000"/>
                <w:sz w:val="24"/>
              </w:rPr>
            </w:pPr>
            <w:r>
              <w:rPr>
                <w:rFonts w:ascii="方正黑体简体" w:hAnsi="方正黑体简体" w:eastAsia="方正黑体简体" w:cs="方正黑体简体"/>
                <w:color w:val="000000"/>
                <w:kern w:val="0"/>
                <w:sz w:val="24"/>
              </w:rPr>
              <w:t>附表7</w:t>
            </w:r>
          </w:p>
        </w:tc>
        <w:tc>
          <w:tcPr>
            <w:tcW w:w="2630"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4426"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877" w:type="dxa"/>
            <w:tcBorders>
              <w:top w:val="single" w:color="FFFFFF" w:sz="4" w:space="0"/>
              <w:left w:val="single" w:color="FFFFFF" w:sz="4" w:space="0"/>
              <w:bottom w:val="single" w:color="FFFFFF" w:sz="4" w:space="0"/>
              <w:right w:val="single" w:color="FFFFFF" w:sz="4" w:space="0"/>
            </w:tcBorders>
            <w:shd w:val="clear" w:color="auto" w:fill="auto"/>
            <w:noWrap/>
            <w:vAlign w:val="center"/>
          </w:tcPr>
          <w:p>
            <w:pPr>
              <w:rPr>
                <w:rFonts w:ascii="宋体" w:hAnsi="宋体" w:cs="宋体"/>
                <w:color w:val="000000"/>
                <w:sz w:val="18"/>
                <w:szCs w:val="18"/>
              </w:rPr>
            </w:pPr>
          </w:p>
        </w:tc>
        <w:tc>
          <w:tcPr>
            <w:tcW w:w="1877" w:type="dxa"/>
            <w:tcBorders>
              <w:top w:val="single" w:color="FFFFFF" w:sz="4" w:space="0"/>
              <w:left w:val="single" w:color="FFFFFF" w:sz="4" w:space="0"/>
              <w:bottom w:val="single" w:color="FFFFFF" w:sz="4" w:space="0"/>
              <w:right w:val="single" w:color="FFFFFF" w:sz="4" w:space="0"/>
            </w:tcBorders>
            <w:shd w:val="clear" w:color="auto" w:fill="auto"/>
            <w:noWrap/>
            <w:vAlign w:val="center"/>
          </w:tcPr>
          <w:p>
            <w:pPr>
              <w:rPr>
                <w:rFonts w:ascii="宋体" w:hAnsi="宋体" w:cs="宋体"/>
                <w:color w:val="000000"/>
                <w:sz w:val="18"/>
                <w:szCs w:val="18"/>
              </w:rPr>
            </w:pPr>
          </w:p>
        </w:tc>
        <w:tc>
          <w:tcPr>
            <w:tcW w:w="1877" w:type="dxa"/>
            <w:tcBorders>
              <w:top w:val="single" w:color="FFFFFF" w:sz="4" w:space="0"/>
              <w:left w:val="single" w:color="FFFFFF" w:sz="4" w:space="0"/>
              <w:bottom w:val="single" w:color="FFFFFF" w:sz="4" w:space="0"/>
              <w:right w:val="single" w:color="FFFFFF" w:sz="4" w:space="0"/>
            </w:tcBorders>
            <w:shd w:val="clear" w:color="auto" w:fill="auto"/>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0" w:type="auto"/>
            <w:gridSpan w:val="7"/>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center"/>
              <w:textAlignment w:val="center"/>
              <w:rPr>
                <w:rFonts w:ascii="宋体" w:hAnsi="宋体" w:cs="宋体"/>
                <w:b/>
                <w:bCs/>
                <w:color w:val="000000"/>
                <w:sz w:val="32"/>
                <w:szCs w:val="32"/>
              </w:rPr>
            </w:pPr>
            <w:r>
              <w:rPr>
                <w:rFonts w:hint="eastAsia" w:ascii="宋体" w:hAnsi="宋体" w:cs="宋体"/>
                <w:b/>
                <w:bCs/>
                <w:color w:val="000000"/>
                <w:kern w:val="0"/>
                <w:sz w:val="32"/>
                <w:szCs w:val="32"/>
              </w:rPr>
              <w:t>一般公共预算基本支出预算表</w:t>
            </w:r>
          </w:p>
        </w:tc>
      </w:tr>
      <w:tr>
        <w:tblPrEx>
          <w:tblCellMar>
            <w:top w:w="0" w:type="dxa"/>
            <w:left w:w="108" w:type="dxa"/>
            <w:bottom w:w="0" w:type="dxa"/>
            <w:right w:w="108" w:type="dxa"/>
          </w:tblCellMar>
        </w:tblPrEx>
        <w:trPr>
          <w:trHeight w:val="391" w:hRule="atLeast"/>
        </w:trPr>
        <w:tc>
          <w:tcPr>
            <w:tcW w:w="0" w:type="auto"/>
            <w:gridSpan w:val="4"/>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0" w:type="auto"/>
            <w:tcBorders>
              <w:top w:val="nil"/>
              <w:left w:val="nil"/>
              <w:bottom w:val="nil"/>
              <w:right w:val="nil"/>
            </w:tcBorders>
            <w:shd w:val="clear" w:color="auto" w:fill="auto"/>
            <w:noWrap/>
            <w:vAlign w:val="center"/>
          </w:tcPr>
          <w:p>
            <w:pP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sz w:val="18"/>
                <w:szCs w:val="18"/>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widowControl/>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108" w:type="dxa"/>
            <w:bottom w:w="0" w:type="dxa"/>
            <w:right w:w="108" w:type="dxa"/>
          </w:tblCellMar>
        </w:tblPrEx>
        <w:trPr>
          <w:trHeight w:val="48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    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基本支出</w:t>
            </w:r>
          </w:p>
        </w:tc>
      </w:tr>
      <w:tr>
        <w:tblPrEx>
          <w:tblCellMar>
            <w:top w:w="0" w:type="dxa"/>
            <w:left w:w="108" w:type="dxa"/>
            <w:bottom w:w="0" w:type="dxa"/>
            <w:right w:w="108" w:type="dxa"/>
          </w:tblCellMar>
        </w:tblPrEx>
        <w:trPr>
          <w:trHeight w:val="488"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科目编码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单位名称（科目）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合计</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人员经费</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公用经费</w:t>
            </w:r>
          </w:p>
        </w:tc>
      </w:tr>
      <w:tr>
        <w:tblPrEx>
          <w:tblCellMar>
            <w:top w:w="0" w:type="dxa"/>
            <w:left w:w="108" w:type="dxa"/>
            <w:bottom w:w="0" w:type="dxa"/>
            <w:right w:w="108" w:type="dxa"/>
          </w:tblCellMar>
        </w:tblPrEx>
        <w:trPr>
          <w:trHeight w:val="4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款</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456.74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400.54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56.19</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456.74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400.54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56.19</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广元市产品质量监督检验所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456.74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400.54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56.19</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工资福利支出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389.96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389.96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基本工资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105.84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105.84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晋级工资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基本工资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104.54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104.54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津贴补贴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其他津贴补贴（含工改、审计等）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奖金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99.21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99.21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基础绩效奖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301030502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事业人员年度考核奖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绩效工资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69.61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69.61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机关事业单位基本养老保险缴费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职业年金缴费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职工基本医疗保险缴费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其他社会保障缴费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3011201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失业保险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3011202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工伤保险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商品和服务支出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56.19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56.19</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办公费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4.00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印刷费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手续费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0.30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0.50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邮电费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物业管理费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差旅费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维修（护）费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培训费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公务接待费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0.88</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劳务费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0.52</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委托业务费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工会经费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2.12</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福利费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13.21</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3022901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福利费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3.21</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3022902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食堂补助经费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公务用车运行维护费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其他交通费用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30299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其他商品和服务支出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6.67</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对个人和家庭的补助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30305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生活补助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ascii="Arial" w:hAnsi="Arial" w:cs="Arial"/>
                <w:color w:val="000000"/>
                <w:sz w:val="22"/>
                <w:szCs w:val="22"/>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3030503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定补退休绩效补助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10.58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r>
    </w:tbl>
    <w:p>
      <w:pPr>
        <w:rPr>
          <w:rFonts w:ascii="仿宋_GB2312" w:hAnsi="仿宋_GB2312" w:eastAsia="仿宋_GB2312" w:cs="仿宋_GB2312"/>
          <w:sz w:val="32"/>
          <w:szCs w:val="32"/>
        </w:rPr>
      </w:pPr>
    </w:p>
    <w:p>
      <w:pPr>
        <w:rPr>
          <w:rFonts w:ascii="仿宋_GB2312" w:hAnsi="仿宋_GB2312" w:eastAsia="仿宋_GB2312" w:cs="仿宋_GB2312"/>
          <w:sz w:val="32"/>
          <w:szCs w:val="32"/>
        </w:rPr>
      </w:pPr>
    </w:p>
    <w:tbl>
      <w:tblPr>
        <w:tblStyle w:val="13"/>
        <w:tblW w:w="13152" w:type="dxa"/>
        <w:tblInd w:w="96" w:type="dxa"/>
        <w:tblLayout w:type="autofit"/>
        <w:tblCellMar>
          <w:top w:w="0" w:type="dxa"/>
          <w:left w:w="108" w:type="dxa"/>
          <w:bottom w:w="0" w:type="dxa"/>
          <w:right w:w="108" w:type="dxa"/>
        </w:tblCellMar>
      </w:tblPr>
      <w:tblGrid>
        <w:gridCol w:w="804"/>
        <w:gridCol w:w="628"/>
        <w:gridCol w:w="716"/>
        <w:gridCol w:w="2876"/>
        <w:gridCol w:w="5252"/>
        <w:gridCol w:w="2876"/>
      </w:tblGrid>
      <w:tr>
        <w:tblPrEx>
          <w:tblCellMar>
            <w:top w:w="0" w:type="dxa"/>
            <w:left w:w="108" w:type="dxa"/>
            <w:bottom w:w="0" w:type="dxa"/>
            <w:right w:w="108" w:type="dxa"/>
          </w:tblCellMar>
        </w:tblPrEx>
        <w:trPr>
          <w:trHeight w:val="500" w:hRule="atLeast"/>
        </w:trPr>
        <w:tc>
          <w:tcPr>
            <w:tcW w:w="1432" w:type="dxa"/>
            <w:gridSpan w:val="2"/>
            <w:tcBorders>
              <w:top w:val="single" w:color="FFFFFF" w:sz="4" w:space="0"/>
              <w:left w:val="single" w:color="FFFFFF" w:sz="4" w:space="0"/>
              <w:bottom w:val="single" w:color="FFFFFF" w:sz="4" w:space="0"/>
              <w:right w:val="single" w:color="FFFFFF" w:sz="4" w:space="0"/>
            </w:tcBorders>
            <w:shd w:val="clear" w:color="auto" w:fill="auto"/>
            <w:noWrap/>
            <w:vAlign w:val="center"/>
          </w:tcPr>
          <w:p>
            <w:pPr>
              <w:rPr>
                <w:rFonts w:ascii="方正黑体简体" w:hAnsi="方正黑体简体" w:eastAsia="方正黑体简体" w:cs="方正黑体简体"/>
                <w:color w:val="000000"/>
                <w:kern w:val="0"/>
                <w:sz w:val="24"/>
              </w:rPr>
            </w:pPr>
          </w:p>
          <w:p>
            <w:pPr>
              <w:rPr>
                <w:rFonts w:ascii="方正黑体简体" w:hAnsi="方正黑体简体" w:eastAsia="方正黑体简体" w:cs="方正黑体简体"/>
                <w:color w:val="000000"/>
                <w:sz w:val="24"/>
              </w:rPr>
            </w:pPr>
            <w:r>
              <w:rPr>
                <w:rFonts w:ascii="方正黑体简体" w:hAnsi="方正黑体简体" w:eastAsia="方正黑体简体" w:cs="方正黑体简体"/>
                <w:color w:val="000000"/>
                <w:kern w:val="0"/>
                <w:sz w:val="24"/>
              </w:rPr>
              <w:t>附表8</w:t>
            </w:r>
          </w:p>
        </w:tc>
        <w:tc>
          <w:tcPr>
            <w:tcW w:w="716" w:type="dxa"/>
            <w:tcBorders>
              <w:top w:val="single" w:color="FFFFFF" w:sz="4" w:space="0"/>
              <w:left w:val="single" w:color="FFFFFF" w:sz="4" w:space="0"/>
              <w:bottom w:val="single" w:color="FFFFFF" w:sz="4" w:space="0"/>
              <w:right w:val="single" w:color="FFFFFF" w:sz="4" w:space="0"/>
            </w:tcBorders>
            <w:shd w:val="clear" w:color="auto" w:fill="auto"/>
            <w:noWrap/>
            <w:vAlign w:val="center"/>
          </w:tcPr>
          <w:p>
            <w:pPr>
              <w:rPr>
                <w:rFonts w:ascii="方正黑体简体" w:hAnsi="方正黑体简体" w:eastAsia="方正黑体简体" w:cs="方正黑体简体"/>
                <w:color w:val="000000"/>
                <w:sz w:val="24"/>
              </w:rPr>
            </w:pPr>
          </w:p>
        </w:tc>
        <w:tc>
          <w:tcPr>
            <w:tcW w:w="2876" w:type="dxa"/>
            <w:tcBorders>
              <w:top w:val="nil"/>
              <w:left w:val="nil"/>
              <w:bottom w:val="nil"/>
              <w:right w:val="nil"/>
            </w:tcBorders>
            <w:shd w:val="clear" w:color="auto" w:fill="auto"/>
            <w:vAlign w:val="center"/>
          </w:tcPr>
          <w:p>
            <w:pPr>
              <w:rPr>
                <w:rFonts w:ascii="黑体" w:hAnsi="黑体" w:eastAsia="黑体" w:cs="黑体"/>
                <w:color w:val="000000"/>
                <w:sz w:val="18"/>
                <w:szCs w:val="18"/>
              </w:rPr>
            </w:pPr>
          </w:p>
        </w:tc>
        <w:tc>
          <w:tcPr>
            <w:tcW w:w="5252" w:type="dxa"/>
            <w:tcBorders>
              <w:top w:val="nil"/>
              <w:left w:val="nil"/>
              <w:bottom w:val="nil"/>
              <w:right w:val="nil"/>
            </w:tcBorders>
            <w:shd w:val="clear" w:color="auto" w:fill="auto"/>
            <w:vAlign w:val="center"/>
          </w:tcPr>
          <w:p>
            <w:pPr>
              <w:rPr>
                <w:rFonts w:ascii="黑体" w:hAnsi="黑体" w:eastAsia="黑体" w:cs="黑体"/>
                <w:color w:val="000000"/>
                <w:sz w:val="18"/>
                <w:szCs w:val="18"/>
              </w:rPr>
            </w:pPr>
          </w:p>
        </w:tc>
        <w:tc>
          <w:tcPr>
            <w:tcW w:w="2876" w:type="dxa"/>
            <w:tcBorders>
              <w:top w:val="single" w:color="FFFFFF" w:sz="4" w:space="0"/>
              <w:left w:val="single" w:color="FFFFFF" w:sz="4" w:space="0"/>
              <w:bottom w:val="single" w:color="FFFFFF" w:sz="4" w:space="0"/>
              <w:right w:val="single" w:color="FFFFFF" w:sz="4" w:space="0"/>
            </w:tcBorders>
            <w:shd w:val="clear" w:color="auto" w:fill="auto"/>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0" w:type="auto"/>
            <w:gridSpan w:val="6"/>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center"/>
              <w:textAlignment w:val="center"/>
              <w:rPr>
                <w:rFonts w:ascii="宋体" w:hAnsi="宋体" w:cs="宋体"/>
                <w:b/>
                <w:bCs/>
                <w:color w:val="000000"/>
                <w:sz w:val="32"/>
                <w:szCs w:val="32"/>
              </w:rPr>
            </w:pPr>
            <w:r>
              <w:rPr>
                <w:rFonts w:hint="eastAsia" w:ascii="宋体" w:hAnsi="宋体" w:cs="宋体"/>
                <w:b/>
                <w:bCs/>
                <w:color w:val="000000"/>
                <w:kern w:val="0"/>
                <w:sz w:val="32"/>
                <w:szCs w:val="32"/>
              </w:rPr>
              <w:t>一般公共预算项目支出预算表</w:t>
            </w:r>
          </w:p>
        </w:tc>
      </w:tr>
      <w:tr>
        <w:tblPrEx>
          <w:tblCellMar>
            <w:top w:w="0" w:type="dxa"/>
            <w:left w:w="108" w:type="dxa"/>
            <w:bottom w:w="0" w:type="dxa"/>
            <w:right w:w="108" w:type="dxa"/>
          </w:tblCellMar>
        </w:tblPrEx>
        <w:trPr>
          <w:trHeight w:val="391" w:hRule="atLeast"/>
        </w:trPr>
        <w:tc>
          <w:tcPr>
            <w:tcW w:w="0" w:type="auto"/>
            <w:gridSpan w:val="5"/>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108" w:type="dxa"/>
            <w:bottom w:w="0" w:type="dxa"/>
            <w:right w:w="108" w:type="dxa"/>
          </w:tblCellMar>
        </w:tblPrEx>
        <w:trPr>
          <w:trHeight w:val="48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科目编码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单位名称（科目）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金额</w:t>
            </w:r>
          </w:p>
        </w:tc>
      </w:tr>
      <w:tr>
        <w:tblPrEx>
          <w:tblCellMar>
            <w:top w:w="0" w:type="dxa"/>
            <w:left w:w="108" w:type="dxa"/>
            <w:bottom w:w="0" w:type="dxa"/>
            <w:right w:w="108" w:type="dxa"/>
          </w:tblCellMar>
        </w:tblPrEx>
        <w:trPr>
          <w:trHeight w:val="4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86.00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86.00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广元市产品质量监督检验所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86.00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其他市场监督管理事务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86.00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质检运行经费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66.00</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产品质量监督抽查经费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20.00</w:t>
            </w:r>
          </w:p>
        </w:tc>
      </w:tr>
    </w:tbl>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tbl>
      <w:tblPr>
        <w:tblStyle w:val="13"/>
        <w:tblW w:w="13957" w:type="dxa"/>
        <w:tblInd w:w="96" w:type="dxa"/>
        <w:tblLayout w:type="autofit"/>
        <w:tblCellMar>
          <w:top w:w="0" w:type="dxa"/>
          <w:left w:w="108" w:type="dxa"/>
          <w:bottom w:w="0" w:type="dxa"/>
          <w:right w:w="108" w:type="dxa"/>
        </w:tblCellMar>
      </w:tblPr>
      <w:tblGrid>
        <w:gridCol w:w="1283"/>
        <w:gridCol w:w="2964"/>
        <w:gridCol w:w="1466"/>
        <w:gridCol w:w="1496"/>
        <w:gridCol w:w="1466"/>
        <w:gridCol w:w="1763"/>
        <w:gridCol w:w="1763"/>
        <w:gridCol w:w="1756"/>
      </w:tblGrid>
      <w:tr>
        <w:tblPrEx>
          <w:tblCellMar>
            <w:top w:w="0" w:type="dxa"/>
            <w:left w:w="108" w:type="dxa"/>
            <w:bottom w:w="0" w:type="dxa"/>
            <w:right w:w="108" w:type="dxa"/>
          </w:tblCellMar>
        </w:tblPrEx>
        <w:trPr>
          <w:trHeight w:val="500" w:hRule="atLeast"/>
        </w:trPr>
        <w:tc>
          <w:tcPr>
            <w:tcW w:w="1283" w:type="dxa"/>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left"/>
              <w:textAlignment w:val="center"/>
              <w:rPr>
                <w:rFonts w:ascii="方正黑体简体" w:hAnsi="方正黑体简体" w:eastAsia="方正黑体简体" w:cs="方正黑体简体"/>
                <w:color w:val="000000"/>
                <w:sz w:val="24"/>
              </w:rPr>
            </w:pPr>
            <w:r>
              <w:rPr>
                <w:rFonts w:ascii="方正黑体简体" w:hAnsi="方正黑体简体" w:eastAsia="方正黑体简体" w:cs="方正黑体简体"/>
                <w:color w:val="000000"/>
                <w:kern w:val="0"/>
                <w:sz w:val="24"/>
              </w:rPr>
              <w:t>附表9</w:t>
            </w:r>
          </w:p>
        </w:tc>
        <w:tc>
          <w:tcPr>
            <w:tcW w:w="2964" w:type="dxa"/>
            <w:tcBorders>
              <w:top w:val="nil"/>
              <w:left w:val="nil"/>
              <w:bottom w:val="nil"/>
              <w:right w:val="nil"/>
            </w:tcBorders>
            <w:shd w:val="clear" w:color="auto" w:fill="auto"/>
            <w:vAlign w:val="center"/>
          </w:tcPr>
          <w:p>
            <w:pPr>
              <w:rPr>
                <w:rFonts w:ascii="黑体" w:hAnsi="黑体" w:eastAsia="黑体" w:cs="黑体"/>
                <w:color w:val="000000"/>
                <w:sz w:val="18"/>
                <w:szCs w:val="18"/>
              </w:rPr>
            </w:pPr>
          </w:p>
        </w:tc>
        <w:tc>
          <w:tcPr>
            <w:tcW w:w="1466"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496"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466"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763"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763"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756" w:type="dxa"/>
            <w:tcBorders>
              <w:top w:val="single" w:color="FFFFFF" w:sz="4" w:space="0"/>
              <w:left w:val="single" w:color="FFFFFF" w:sz="4" w:space="0"/>
              <w:bottom w:val="single" w:color="FFFFFF" w:sz="4" w:space="0"/>
              <w:right w:val="single" w:color="FFFFFF" w:sz="4" w:space="0"/>
            </w:tcBorders>
            <w:shd w:val="clear" w:color="auto" w:fill="auto"/>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0" w:type="auto"/>
            <w:gridSpan w:val="8"/>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center"/>
              <w:textAlignment w:val="center"/>
              <w:rPr>
                <w:rFonts w:ascii="宋体" w:hAnsi="宋体" w:cs="宋体"/>
                <w:b/>
                <w:bCs/>
                <w:color w:val="000000"/>
                <w:sz w:val="32"/>
                <w:szCs w:val="32"/>
              </w:rPr>
            </w:pPr>
            <w:r>
              <w:rPr>
                <w:rFonts w:hint="eastAsia" w:ascii="宋体" w:hAnsi="宋体" w:cs="宋体"/>
                <w:b/>
                <w:bCs/>
                <w:color w:val="000000"/>
                <w:kern w:val="0"/>
                <w:sz w:val="32"/>
                <w:szCs w:val="32"/>
              </w:rPr>
              <w:t>一般公共预算“三公”经费支出预算表</w:t>
            </w:r>
          </w:p>
        </w:tc>
      </w:tr>
      <w:tr>
        <w:tblPrEx>
          <w:tblCellMar>
            <w:top w:w="0" w:type="dxa"/>
            <w:left w:w="108" w:type="dxa"/>
            <w:bottom w:w="0" w:type="dxa"/>
            <w:right w:w="108" w:type="dxa"/>
          </w:tblCellMar>
        </w:tblPrEx>
        <w:trPr>
          <w:trHeight w:val="391" w:hRule="atLeast"/>
        </w:trPr>
        <w:tc>
          <w:tcPr>
            <w:tcW w:w="0" w:type="auto"/>
            <w:gridSpan w:val="2"/>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108" w:type="dxa"/>
            <w:bottom w:w="0" w:type="dxa"/>
            <w:right w:w="108" w:type="dxa"/>
          </w:tblCellMar>
        </w:tblPrEx>
        <w:trPr>
          <w:trHeight w:val="48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单位名称（科目）</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当年财政拨款预算安排</w:t>
            </w:r>
          </w:p>
        </w:tc>
      </w:tr>
      <w:tr>
        <w:tblPrEx>
          <w:tblCellMar>
            <w:top w:w="0" w:type="dxa"/>
            <w:left w:w="108" w:type="dxa"/>
            <w:bottom w:w="0" w:type="dxa"/>
            <w:right w:w="108" w:type="dxa"/>
          </w:tblCellMar>
        </w:tblPrEx>
        <w:trPr>
          <w:trHeight w:val="4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合计</w:t>
            </w:r>
          </w:p>
        </w:tc>
        <w:tc>
          <w:tcPr>
            <w:tcW w:w="1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因公出国（境）</w:t>
            </w:r>
            <w:r>
              <w:rPr>
                <w:rFonts w:hint="eastAsia" w:ascii="宋体" w:hAnsi="宋体" w:cs="宋体"/>
                <w:b/>
                <w:bCs/>
                <w:color w:val="000000"/>
                <w:kern w:val="0"/>
                <w:sz w:val="22"/>
                <w:szCs w:val="22"/>
              </w:rPr>
              <w:br w:type="textWrapping"/>
            </w:r>
            <w:r>
              <w:rPr>
                <w:rFonts w:hint="eastAsia" w:ascii="宋体" w:hAnsi="宋体" w:cs="宋体"/>
                <w:b/>
                <w:bCs/>
                <w:color w:val="000000"/>
                <w:kern w:val="0"/>
                <w:sz w:val="22"/>
                <w:szCs w:val="22"/>
              </w:rPr>
              <w:t>费用</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公务用车购置及运行费</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公务接待费</w:t>
            </w:r>
          </w:p>
        </w:tc>
      </w:tr>
      <w:tr>
        <w:tblPrEx>
          <w:tblCellMar>
            <w:top w:w="0" w:type="dxa"/>
            <w:left w:w="108" w:type="dxa"/>
            <w:bottom w:w="0" w:type="dxa"/>
            <w:right w:w="108" w:type="dxa"/>
          </w:tblCellMar>
        </w:tblPrEx>
        <w:trPr>
          <w:trHeight w:val="4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公务用车购置费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公务用车运行费</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r>
              <w:rPr>
                <w:rFonts w:hint="eastAsia"/>
                <w:b/>
                <w:bCs/>
                <w:color w:val="000000"/>
                <w:sz w:val="22"/>
                <w:szCs w:val="22"/>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2.88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r>
              <w:rPr>
                <w:rFonts w:hint="eastAsia"/>
                <w:b/>
                <w:bCs/>
                <w:color w:val="000000"/>
                <w:sz w:val="22"/>
                <w:szCs w:val="22"/>
              </w:rPr>
              <w:t>0.88</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0.88</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hint="eastAsia"/>
                <w:color w:val="000000"/>
                <w:sz w:val="22"/>
                <w:szCs w:val="22"/>
              </w:rPr>
              <w:t>359304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r>
              <w:rPr>
                <w:rFonts w:ascii="Arial" w:hAnsi="Arial" w:cs="Arial"/>
                <w:color w:val="000000"/>
                <w:sz w:val="22"/>
                <w:szCs w:val="22"/>
              </w:rPr>
              <w:t> 广元市产品质量监督检验所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r>
              <w:rPr>
                <w:rFonts w:hint="eastAsia"/>
                <w:color w:val="000000"/>
                <w:sz w:val="22"/>
                <w:szCs w:val="22"/>
              </w:rPr>
              <w:t>0.88</w:t>
            </w: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bl>
    <w:p>
      <w:pPr>
        <w:spacing w:line="576" w:lineRule="exact"/>
        <w:rPr>
          <w:rFonts w:ascii="仿宋_GB2312" w:hAnsi="仿宋_GB2312" w:eastAsia="仿宋_GB2312" w:cs="仿宋_GB2312"/>
          <w:sz w:val="32"/>
          <w:szCs w:val="32"/>
        </w:rPr>
      </w:pPr>
    </w:p>
    <w:tbl>
      <w:tblPr>
        <w:tblStyle w:val="13"/>
        <w:tblW w:w="13717" w:type="dxa"/>
        <w:tblInd w:w="96" w:type="dxa"/>
        <w:tblLayout w:type="autofit"/>
        <w:tblCellMar>
          <w:top w:w="0" w:type="dxa"/>
          <w:left w:w="108" w:type="dxa"/>
          <w:bottom w:w="0" w:type="dxa"/>
          <w:right w:w="108" w:type="dxa"/>
        </w:tblCellMar>
      </w:tblPr>
      <w:tblGrid>
        <w:gridCol w:w="665"/>
        <w:gridCol w:w="665"/>
        <w:gridCol w:w="665"/>
        <w:gridCol w:w="1834"/>
        <w:gridCol w:w="4383"/>
        <w:gridCol w:w="1834"/>
        <w:gridCol w:w="1835"/>
        <w:gridCol w:w="1836"/>
      </w:tblGrid>
      <w:tr>
        <w:tblPrEx>
          <w:tblCellMar>
            <w:top w:w="0" w:type="dxa"/>
            <w:left w:w="108" w:type="dxa"/>
            <w:bottom w:w="0" w:type="dxa"/>
            <w:right w:w="108" w:type="dxa"/>
          </w:tblCellMar>
        </w:tblPrEx>
        <w:trPr>
          <w:trHeight w:val="500" w:hRule="atLeast"/>
        </w:trPr>
        <w:tc>
          <w:tcPr>
            <w:tcW w:w="1330" w:type="dxa"/>
            <w:gridSpan w:val="2"/>
            <w:tcBorders>
              <w:top w:val="single" w:color="FFFFFF" w:sz="4" w:space="0"/>
              <w:left w:val="single" w:color="FFFFFF" w:sz="4" w:space="0"/>
              <w:bottom w:val="single" w:color="FFFFFF" w:sz="4" w:space="0"/>
              <w:right w:val="single" w:color="FFFFFF" w:sz="4" w:space="0"/>
            </w:tcBorders>
            <w:shd w:val="clear" w:color="auto" w:fill="auto"/>
            <w:noWrap/>
            <w:vAlign w:val="center"/>
          </w:tcPr>
          <w:p>
            <w:pPr>
              <w:rPr>
                <w:rFonts w:ascii="方正黑体简体" w:hAnsi="方正黑体简体" w:eastAsia="方正黑体简体" w:cs="方正黑体简体"/>
                <w:color w:val="000000"/>
                <w:sz w:val="24"/>
              </w:rPr>
            </w:pPr>
            <w:r>
              <w:rPr>
                <w:rFonts w:ascii="方正黑体简体" w:hAnsi="方正黑体简体" w:eastAsia="方正黑体简体" w:cs="方正黑体简体"/>
                <w:color w:val="000000"/>
                <w:kern w:val="0"/>
                <w:sz w:val="24"/>
              </w:rPr>
              <w:t>附表10</w:t>
            </w:r>
          </w:p>
        </w:tc>
        <w:tc>
          <w:tcPr>
            <w:tcW w:w="665" w:type="dxa"/>
            <w:tcBorders>
              <w:top w:val="single" w:color="FFFFFF" w:sz="4" w:space="0"/>
              <w:left w:val="single" w:color="FFFFFF" w:sz="4" w:space="0"/>
              <w:bottom w:val="single" w:color="FFFFFF" w:sz="4" w:space="0"/>
              <w:right w:val="single" w:color="FFFFFF" w:sz="4" w:space="0"/>
            </w:tcBorders>
            <w:shd w:val="clear" w:color="auto" w:fill="auto"/>
            <w:noWrap/>
            <w:vAlign w:val="center"/>
          </w:tcPr>
          <w:p>
            <w:pPr>
              <w:rPr>
                <w:rFonts w:ascii="方正黑体简体" w:hAnsi="方正黑体简体" w:eastAsia="方正黑体简体" w:cs="方正黑体简体"/>
                <w:color w:val="000000"/>
                <w:sz w:val="24"/>
              </w:rPr>
            </w:pPr>
          </w:p>
        </w:tc>
        <w:tc>
          <w:tcPr>
            <w:tcW w:w="1834" w:type="dxa"/>
            <w:tcBorders>
              <w:top w:val="nil"/>
              <w:left w:val="nil"/>
              <w:bottom w:val="nil"/>
              <w:right w:val="nil"/>
            </w:tcBorders>
            <w:shd w:val="clear" w:color="auto" w:fill="auto"/>
            <w:vAlign w:val="center"/>
          </w:tcPr>
          <w:p>
            <w:pPr>
              <w:rPr>
                <w:rFonts w:ascii="黑体" w:hAnsi="黑体" w:eastAsia="黑体" w:cs="黑体"/>
                <w:color w:val="000000"/>
                <w:sz w:val="18"/>
                <w:szCs w:val="18"/>
              </w:rPr>
            </w:pPr>
          </w:p>
        </w:tc>
        <w:tc>
          <w:tcPr>
            <w:tcW w:w="4383" w:type="dxa"/>
            <w:tcBorders>
              <w:top w:val="nil"/>
              <w:left w:val="nil"/>
              <w:bottom w:val="nil"/>
              <w:right w:val="nil"/>
            </w:tcBorders>
            <w:shd w:val="clear" w:color="auto" w:fill="auto"/>
            <w:vAlign w:val="center"/>
          </w:tcPr>
          <w:p>
            <w:pPr>
              <w:rPr>
                <w:rFonts w:ascii="黑体" w:hAnsi="黑体" w:eastAsia="黑体" w:cs="黑体"/>
                <w:color w:val="000000"/>
                <w:sz w:val="18"/>
                <w:szCs w:val="18"/>
              </w:rPr>
            </w:pPr>
          </w:p>
        </w:tc>
        <w:tc>
          <w:tcPr>
            <w:tcW w:w="1834"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835"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836" w:type="dxa"/>
            <w:tcBorders>
              <w:top w:val="single" w:color="FFFFFF" w:sz="4" w:space="0"/>
              <w:left w:val="single" w:color="FFFFFF" w:sz="4" w:space="0"/>
              <w:bottom w:val="single" w:color="FFFFFF" w:sz="4" w:space="0"/>
              <w:right w:val="single" w:color="FFFFFF" w:sz="4" w:space="0"/>
            </w:tcBorders>
            <w:shd w:val="clear" w:color="auto" w:fill="auto"/>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13717" w:type="dxa"/>
            <w:gridSpan w:val="8"/>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center"/>
              <w:textAlignment w:val="center"/>
              <w:rPr>
                <w:rFonts w:ascii="宋体" w:hAnsi="宋体" w:cs="宋体"/>
                <w:b/>
                <w:bCs/>
                <w:color w:val="000000"/>
                <w:sz w:val="32"/>
                <w:szCs w:val="32"/>
              </w:rPr>
            </w:pPr>
            <w:r>
              <w:rPr>
                <w:rFonts w:hint="eastAsia" w:ascii="宋体" w:hAnsi="宋体" w:cs="宋体"/>
                <w:b/>
                <w:bCs/>
                <w:color w:val="000000"/>
                <w:kern w:val="0"/>
                <w:sz w:val="32"/>
                <w:szCs w:val="32"/>
              </w:rPr>
              <w:t xml:space="preserve">政府性基金预算支出预算表 </w:t>
            </w:r>
          </w:p>
        </w:tc>
      </w:tr>
      <w:tr>
        <w:tblPrEx>
          <w:tblCellMar>
            <w:top w:w="0" w:type="dxa"/>
            <w:left w:w="108" w:type="dxa"/>
            <w:bottom w:w="0" w:type="dxa"/>
            <w:right w:w="108" w:type="dxa"/>
          </w:tblCellMar>
        </w:tblPrEx>
        <w:trPr>
          <w:trHeight w:val="391" w:hRule="atLeast"/>
        </w:trPr>
        <w:tc>
          <w:tcPr>
            <w:tcW w:w="8212" w:type="dxa"/>
            <w:gridSpan w:val="5"/>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1834" w:type="dxa"/>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sz w:val="18"/>
                <w:szCs w:val="18"/>
              </w:rPr>
            </w:pPr>
          </w:p>
        </w:tc>
        <w:tc>
          <w:tcPr>
            <w:tcW w:w="1835" w:type="dxa"/>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sz w:val="18"/>
                <w:szCs w:val="18"/>
              </w:rPr>
            </w:pPr>
          </w:p>
        </w:tc>
        <w:tc>
          <w:tcPr>
            <w:tcW w:w="1836" w:type="dxa"/>
            <w:tcBorders>
              <w:top w:val="single" w:color="FFFFFF" w:sz="4" w:space="0"/>
              <w:left w:val="single" w:color="FFFFFF" w:sz="4" w:space="0"/>
              <w:bottom w:val="nil"/>
              <w:right w:val="single" w:color="FFFFFF"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108" w:type="dxa"/>
            <w:bottom w:w="0" w:type="dxa"/>
            <w:right w:w="108" w:type="dxa"/>
          </w:tblCellMar>
        </w:tblPrEx>
        <w:trPr>
          <w:trHeight w:val="488" w:hRule="atLeast"/>
        </w:trPr>
        <w:tc>
          <w:tcPr>
            <w:tcW w:w="821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    目</w:t>
            </w:r>
          </w:p>
        </w:tc>
        <w:tc>
          <w:tcPr>
            <w:tcW w:w="55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本年政府性基金预算支出</w:t>
            </w:r>
          </w:p>
        </w:tc>
      </w:tr>
      <w:tr>
        <w:tblPrEx>
          <w:tblCellMar>
            <w:top w:w="0" w:type="dxa"/>
            <w:left w:w="108" w:type="dxa"/>
            <w:bottom w:w="0" w:type="dxa"/>
            <w:right w:w="108" w:type="dxa"/>
          </w:tblCellMar>
        </w:tblPrEx>
        <w:trPr>
          <w:trHeight w:val="488" w:hRule="atLeast"/>
        </w:trPr>
        <w:tc>
          <w:tcPr>
            <w:tcW w:w="19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科目编码</w:t>
            </w:r>
          </w:p>
        </w:tc>
        <w:tc>
          <w:tcPr>
            <w:tcW w:w="183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单位代码</w:t>
            </w:r>
          </w:p>
        </w:tc>
        <w:tc>
          <w:tcPr>
            <w:tcW w:w="438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单位名称（科目）</w:t>
            </w:r>
          </w:p>
        </w:tc>
        <w:tc>
          <w:tcPr>
            <w:tcW w:w="183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合计</w:t>
            </w:r>
          </w:p>
        </w:tc>
        <w:tc>
          <w:tcPr>
            <w:tcW w:w="18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基本支出</w:t>
            </w:r>
          </w:p>
        </w:tc>
        <w:tc>
          <w:tcPr>
            <w:tcW w:w="183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项目支出</w:t>
            </w:r>
          </w:p>
        </w:tc>
      </w:tr>
      <w:tr>
        <w:tblPrEx>
          <w:tblCellMar>
            <w:top w:w="0" w:type="dxa"/>
            <w:left w:w="108" w:type="dxa"/>
            <w:bottom w:w="0" w:type="dxa"/>
            <w:right w:w="108" w:type="dxa"/>
          </w:tblCellMar>
        </w:tblPrEx>
        <w:trPr>
          <w:trHeight w:val="488"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类</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款</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w:t>
            </w:r>
          </w:p>
        </w:tc>
        <w:tc>
          <w:tcPr>
            <w:tcW w:w="18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38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3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    计</w:t>
            </w: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3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3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3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3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3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3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3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43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bl>
    <w:p>
      <w:pPr>
        <w:rPr>
          <w:rFonts w:ascii="方正黑体简体" w:hAnsi="方正黑体简体" w:eastAsia="方正黑体简体" w:cs="方正黑体简体"/>
          <w:color w:val="000000"/>
          <w:kern w:val="0"/>
          <w:sz w:val="24"/>
        </w:rPr>
      </w:pPr>
      <w:r>
        <w:rPr>
          <w:rFonts w:hint="eastAsia" w:ascii="方正黑体简体" w:hAnsi="方正黑体简体" w:cs="方正黑体简体" w:eastAsiaTheme="minorEastAsia"/>
          <w:color w:val="000000"/>
          <w:kern w:val="0"/>
          <w:sz w:val="24"/>
        </w:rPr>
        <w:t>注：本表无数据</w:t>
      </w:r>
      <w:r>
        <w:rPr>
          <w:rFonts w:ascii="方正黑体简体" w:hAnsi="方正黑体简体" w:eastAsia="方正黑体简体" w:cs="方正黑体简体"/>
          <w:color w:val="000000"/>
          <w:kern w:val="0"/>
          <w:sz w:val="24"/>
        </w:rPr>
        <w:br w:type="page"/>
      </w:r>
    </w:p>
    <w:tbl>
      <w:tblPr>
        <w:tblStyle w:val="13"/>
        <w:tblW w:w="14407" w:type="dxa"/>
        <w:tblInd w:w="96" w:type="dxa"/>
        <w:tblLayout w:type="autofit"/>
        <w:tblCellMar>
          <w:top w:w="0" w:type="dxa"/>
          <w:left w:w="108" w:type="dxa"/>
          <w:bottom w:w="0" w:type="dxa"/>
          <w:right w:w="108" w:type="dxa"/>
        </w:tblCellMar>
      </w:tblPr>
      <w:tblGrid>
        <w:gridCol w:w="751"/>
        <w:gridCol w:w="572"/>
        <w:gridCol w:w="180"/>
        <w:gridCol w:w="751"/>
        <w:gridCol w:w="1512"/>
        <w:gridCol w:w="578"/>
        <w:gridCol w:w="1424"/>
        <w:gridCol w:w="1459"/>
        <w:gridCol w:w="1187"/>
        <w:gridCol w:w="237"/>
        <w:gridCol w:w="1763"/>
        <w:gridCol w:w="1763"/>
        <w:gridCol w:w="234"/>
        <w:gridCol w:w="1522"/>
        <w:gridCol w:w="474"/>
      </w:tblGrid>
      <w:tr>
        <w:tblPrEx>
          <w:tblCellMar>
            <w:top w:w="0" w:type="dxa"/>
            <w:left w:w="108" w:type="dxa"/>
            <w:bottom w:w="0" w:type="dxa"/>
            <w:right w:w="108" w:type="dxa"/>
          </w:tblCellMar>
        </w:tblPrEx>
        <w:trPr>
          <w:gridAfter w:val="1"/>
          <w:wAfter w:w="474" w:type="dxa"/>
          <w:trHeight w:val="500" w:hRule="atLeast"/>
        </w:trPr>
        <w:tc>
          <w:tcPr>
            <w:tcW w:w="1323" w:type="dxa"/>
            <w:gridSpan w:val="2"/>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left"/>
              <w:textAlignment w:val="center"/>
              <w:rPr>
                <w:rFonts w:ascii="方正黑体简体" w:hAnsi="方正黑体简体" w:eastAsia="方正黑体简体" w:cs="方正黑体简体"/>
                <w:color w:val="000000"/>
                <w:sz w:val="24"/>
              </w:rPr>
            </w:pPr>
            <w:r>
              <w:rPr>
                <w:rFonts w:ascii="方正黑体简体" w:hAnsi="方正黑体简体" w:eastAsia="方正黑体简体" w:cs="方正黑体简体"/>
                <w:color w:val="000000"/>
                <w:kern w:val="0"/>
                <w:sz w:val="24"/>
              </w:rPr>
              <w:t>附表11</w:t>
            </w:r>
          </w:p>
        </w:tc>
        <w:tc>
          <w:tcPr>
            <w:tcW w:w="3021" w:type="dxa"/>
            <w:gridSpan w:val="4"/>
            <w:tcBorders>
              <w:top w:val="nil"/>
              <w:left w:val="nil"/>
              <w:bottom w:val="nil"/>
              <w:right w:val="nil"/>
            </w:tcBorders>
            <w:shd w:val="clear" w:color="auto" w:fill="auto"/>
            <w:vAlign w:val="center"/>
          </w:tcPr>
          <w:p>
            <w:pPr>
              <w:rPr>
                <w:rFonts w:ascii="黑体" w:hAnsi="黑体" w:eastAsia="黑体" w:cs="黑体"/>
                <w:color w:val="000000"/>
                <w:sz w:val="18"/>
                <w:szCs w:val="18"/>
              </w:rPr>
            </w:pPr>
          </w:p>
        </w:tc>
        <w:tc>
          <w:tcPr>
            <w:tcW w:w="1424"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459"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424" w:type="dxa"/>
            <w:gridSpan w:val="2"/>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763"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763" w:type="dxa"/>
            <w:tcBorders>
              <w:top w:val="single" w:color="FFFFFF" w:sz="4" w:space="0"/>
              <w:left w:val="single" w:color="FFFFFF" w:sz="4" w:space="0"/>
              <w:bottom w:val="single" w:color="FFFFFF" w:sz="4" w:space="0"/>
              <w:right w:val="single" w:color="FFFFFF" w:sz="4" w:space="0"/>
            </w:tcBorders>
            <w:shd w:val="clear" w:color="auto" w:fill="auto"/>
            <w:vAlign w:val="center"/>
          </w:tcPr>
          <w:p>
            <w:pPr>
              <w:rPr>
                <w:rFonts w:ascii="宋体" w:hAnsi="宋体" w:cs="宋体"/>
                <w:color w:val="000000"/>
                <w:sz w:val="18"/>
                <w:szCs w:val="18"/>
              </w:rPr>
            </w:pPr>
          </w:p>
        </w:tc>
        <w:tc>
          <w:tcPr>
            <w:tcW w:w="1756" w:type="dxa"/>
            <w:gridSpan w:val="2"/>
            <w:tcBorders>
              <w:top w:val="single" w:color="FFFFFF" w:sz="4" w:space="0"/>
              <w:left w:val="single" w:color="FFFFFF" w:sz="4" w:space="0"/>
              <w:bottom w:val="single" w:color="FFFFFF" w:sz="4" w:space="0"/>
              <w:right w:val="single" w:color="FFFFFF" w:sz="4" w:space="0"/>
            </w:tcBorders>
            <w:shd w:val="clear" w:color="auto" w:fill="auto"/>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14"/>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center"/>
              <w:textAlignment w:val="center"/>
              <w:rPr>
                <w:rFonts w:ascii="宋体" w:hAnsi="宋体" w:cs="宋体"/>
                <w:b/>
                <w:bCs/>
                <w:color w:val="000000"/>
                <w:sz w:val="32"/>
                <w:szCs w:val="32"/>
              </w:rPr>
            </w:pPr>
            <w:r>
              <w:rPr>
                <w:rFonts w:hint="eastAsia" w:ascii="宋体" w:hAnsi="宋体" w:cs="宋体"/>
                <w:b/>
                <w:bCs/>
                <w:color w:val="000000"/>
                <w:kern w:val="0"/>
                <w:sz w:val="32"/>
                <w:szCs w:val="32"/>
              </w:rPr>
              <w:t>政府性基金预算“三公”经费支出预算表</w:t>
            </w:r>
          </w:p>
        </w:tc>
      </w:tr>
      <w:tr>
        <w:tblPrEx>
          <w:tblCellMar>
            <w:top w:w="0" w:type="dxa"/>
            <w:left w:w="108" w:type="dxa"/>
            <w:bottom w:w="0" w:type="dxa"/>
            <w:right w:w="108" w:type="dxa"/>
          </w:tblCellMar>
        </w:tblPrEx>
        <w:trPr>
          <w:gridAfter w:val="1"/>
          <w:wAfter w:w="474" w:type="dxa"/>
          <w:trHeight w:val="391" w:hRule="atLeast"/>
        </w:trPr>
        <w:tc>
          <w:tcPr>
            <w:tcW w:w="0" w:type="auto"/>
            <w:gridSpan w:val="6"/>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gridSpan w:val="2"/>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FFFFFF" w:sz="4" w:space="0"/>
              <w:left w:val="single" w:color="FFFFFF" w:sz="4" w:space="0"/>
              <w:bottom w:val="nil"/>
              <w:right w:val="single" w:color="FFFFFF" w:sz="4" w:space="0"/>
            </w:tcBorders>
            <w:shd w:val="clear" w:color="auto" w:fill="auto"/>
            <w:noWrap/>
            <w:vAlign w:val="center"/>
          </w:tcPr>
          <w:p>
            <w:pPr>
              <w:jc w:val="center"/>
              <w:rPr>
                <w:rFonts w:ascii="宋体" w:hAnsi="宋体" w:cs="宋体"/>
                <w:color w:val="000000"/>
                <w:sz w:val="22"/>
                <w:szCs w:val="22"/>
              </w:rPr>
            </w:pPr>
          </w:p>
        </w:tc>
        <w:tc>
          <w:tcPr>
            <w:tcW w:w="0" w:type="auto"/>
            <w:gridSpan w:val="2"/>
            <w:tcBorders>
              <w:top w:val="single" w:color="FFFFFF" w:sz="4" w:space="0"/>
              <w:left w:val="single" w:color="FFFFFF" w:sz="4" w:space="0"/>
              <w:bottom w:val="nil"/>
              <w:right w:val="single" w:color="FFFFFF"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108" w:type="dxa"/>
            <w:bottom w:w="0" w:type="dxa"/>
            <w:right w:w="108" w:type="dxa"/>
          </w:tblCellMar>
        </w:tblPrEx>
        <w:trPr>
          <w:gridAfter w:val="1"/>
          <w:wAfter w:w="474" w:type="dxa"/>
          <w:trHeight w:val="488"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单位编码</w:t>
            </w:r>
          </w:p>
        </w:tc>
        <w:tc>
          <w:tcPr>
            <w:tcW w:w="0" w:type="auto"/>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单位名称（科目）</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当年财政拨款预算安排</w:t>
            </w:r>
          </w:p>
        </w:tc>
      </w:tr>
      <w:tr>
        <w:tblPrEx>
          <w:tblCellMar>
            <w:top w:w="0" w:type="dxa"/>
            <w:left w:w="108" w:type="dxa"/>
            <w:bottom w:w="0" w:type="dxa"/>
            <w:right w:w="108" w:type="dxa"/>
          </w:tblCellMar>
        </w:tblPrEx>
        <w:trPr>
          <w:gridAfter w:val="1"/>
          <w:wAfter w:w="474" w:type="dxa"/>
          <w:trHeight w:val="488"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合计</w:t>
            </w:r>
          </w:p>
        </w:tc>
        <w:tc>
          <w:tcPr>
            <w:tcW w:w="14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因公出国（境）</w:t>
            </w:r>
            <w:r>
              <w:rPr>
                <w:rFonts w:hint="eastAsia" w:ascii="宋体" w:hAnsi="宋体" w:cs="宋体"/>
                <w:b/>
                <w:bCs/>
                <w:color w:val="000000"/>
                <w:kern w:val="0"/>
                <w:sz w:val="22"/>
                <w:szCs w:val="22"/>
              </w:rPr>
              <w:br w:type="textWrapping"/>
            </w:r>
            <w:r>
              <w:rPr>
                <w:rFonts w:hint="eastAsia" w:ascii="宋体" w:hAnsi="宋体" w:cs="宋体"/>
                <w:b/>
                <w:bCs/>
                <w:color w:val="000000"/>
                <w:kern w:val="0"/>
                <w:sz w:val="22"/>
                <w:szCs w:val="22"/>
              </w:rPr>
              <w:t>费用</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公务用车购置及运行费</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公务接待费</w:t>
            </w:r>
          </w:p>
        </w:tc>
      </w:tr>
      <w:tr>
        <w:tblPrEx>
          <w:tblCellMar>
            <w:top w:w="0" w:type="dxa"/>
            <w:left w:w="108" w:type="dxa"/>
            <w:bottom w:w="0" w:type="dxa"/>
            <w:right w:w="108" w:type="dxa"/>
          </w:tblCellMar>
        </w:tblPrEx>
        <w:trPr>
          <w:gridAfter w:val="1"/>
          <w:wAfter w:w="474" w:type="dxa"/>
          <w:trHeight w:val="488"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4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公务用车购置费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公务用车运行费</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gridAfter w:val="1"/>
          <w:wAfter w:w="474" w:type="dxa"/>
          <w:trHeight w:val="456"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14407" w:type="dxa"/>
            <w:gridSpan w:val="15"/>
            <w:tcBorders>
              <w:top w:val="single" w:color="FFFFFF" w:sz="4" w:space="0"/>
              <w:left w:val="single" w:color="FFFFFF" w:sz="4" w:space="0"/>
              <w:bottom w:val="single" w:color="FFFFFF" w:sz="4" w:space="0"/>
              <w:right w:val="single" w:color="FFFFFF" w:sz="4" w:space="0"/>
            </w:tcBorders>
            <w:shd w:val="clear" w:color="auto" w:fill="auto"/>
            <w:noWrap/>
            <w:vAlign w:val="center"/>
          </w:tcPr>
          <w:p>
            <w:pPr>
              <w:widowControl/>
              <w:jc w:val="left"/>
              <w:textAlignment w:val="center"/>
              <w:rPr>
                <w:rFonts w:hint="eastAsia" w:ascii="方正黑体简体" w:hAnsi="方正黑体简体" w:cs="方正黑体简体" w:eastAsiaTheme="minorEastAsia"/>
                <w:color w:val="000000"/>
                <w:kern w:val="0"/>
                <w:sz w:val="24"/>
              </w:rPr>
            </w:pPr>
            <w:r>
              <w:rPr>
                <w:rFonts w:hint="eastAsia" w:ascii="方正黑体简体" w:hAnsi="方正黑体简体" w:cs="方正黑体简体" w:eastAsiaTheme="minorEastAsia"/>
                <w:color w:val="000000"/>
                <w:kern w:val="0"/>
                <w:sz w:val="24"/>
              </w:rPr>
              <w:t>注：本表无数据</w:t>
            </w:r>
          </w:p>
          <w:p>
            <w:pPr>
              <w:widowControl/>
              <w:jc w:val="left"/>
              <w:textAlignment w:val="center"/>
              <w:rPr>
                <w:rFonts w:hint="eastAsia" w:ascii="方正黑体简体" w:hAnsi="方正黑体简体" w:cs="方正黑体简体" w:eastAsiaTheme="minorEastAsia"/>
                <w:color w:val="000000"/>
                <w:kern w:val="0"/>
                <w:sz w:val="24"/>
              </w:rPr>
            </w:pPr>
          </w:p>
          <w:p>
            <w:pPr>
              <w:widowControl/>
              <w:jc w:val="left"/>
              <w:textAlignment w:val="center"/>
              <w:rPr>
                <w:rFonts w:ascii="方正黑体简体" w:hAnsi="方正黑体简体" w:eastAsia="方正黑体简体" w:cs="方正黑体简体"/>
                <w:color w:val="000000"/>
                <w:kern w:val="0"/>
                <w:sz w:val="24"/>
              </w:rPr>
            </w:pPr>
            <w:r>
              <w:rPr>
                <w:rFonts w:hint="eastAsia" w:ascii="方正黑体简体" w:hAnsi="方正黑体简体" w:eastAsia="方正黑体简体" w:cs="方正黑体简体"/>
                <w:color w:val="000000"/>
                <w:kern w:val="0"/>
                <w:sz w:val="24"/>
              </w:rPr>
              <w:t>附表12</w:t>
            </w:r>
          </w:p>
          <w:p>
            <w:pPr>
              <w:widowControl/>
              <w:jc w:val="center"/>
              <w:textAlignment w:val="center"/>
              <w:rPr>
                <w:rFonts w:ascii="宋体" w:hAnsi="宋体" w:cs="宋体"/>
                <w:b/>
                <w:bCs/>
                <w:color w:val="000000"/>
                <w:sz w:val="32"/>
                <w:szCs w:val="32"/>
              </w:rPr>
            </w:pPr>
            <w:r>
              <w:rPr>
                <w:rFonts w:hint="eastAsia" w:ascii="宋体" w:hAnsi="宋体" w:cs="宋体"/>
                <w:b/>
                <w:bCs/>
                <w:color w:val="000000"/>
                <w:kern w:val="0"/>
                <w:sz w:val="32"/>
                <w:szCs w:val="32"/>
              </w:rPr>
              <w:t>国有资本经营预算支出预算表</w:t>
            </w:r>
          </w:p>
        </w:tc>
      </w:tr>
      <w:tr>
        <w:tblPrEx>
          <w:tblCellMar>
            <w:top w:w="0" w:type="dxa"/>
            <w:left w:w="108" w:type="dxa"/>
            <w:bottom w:w="0" w:type="dxa"/>
            <w:right w:w="108" w:type="dxa"/>
          </w:tblCellMar>
        </w:tblPrEx>
        <w:trPr>
          <w:trHeight w:val="391" w:hRule="atLeast"/>
        </w:trPr>
        <w:tc>
          <w:tcPr>
            <w:tcW w:w="8414" w:type="dxa"/>
            <w:gridSpan w:val="9"/>
            <w:tcBorders>
              <w:top w:val="single" w:color="FFFFFF" w:sz="4" w:space="0"/>
              <w:left w:val="single" w:color="FFFFFF" w:sz="4" w:space="0"/>
              <w:bottom w:val="nil"/>
              <w:right w:val="single" w:color="FFFFFF" w:sz="4" w:space="0"/>
            </w:tcBorders>
            <w:shd w:val="clear" w:color="auto" w:fill="auto"/>
            <w:noWrap/>
            <w:vAlign w:val="center"/>
          </w:tcPr>
          <w:p>
            <w:pPr>
              <w:widowControl/>
              <w:jc w:val="left"/>
              <w:textAlignment w:val="center"/>
              <w:rPr>
                <w:rFonts w:ascii="宋体" w:hAnsi="宋体" w:cs="宋体"/>
                <w:color w:val="000000"/>
                <w:sz w:val="22"/>
                <w:szCs w:val="22"/>
              </w:rPr>
            </w:pPr>
            <w:bookmarkStart w:id="16" w:name="_GoBack"/>
            <w:bookmarkEnd w:id="16"/>
          </w:p>
        </w:tc>
        <w:tc>
          <w:tcPr>
            <w:tcW w:w="2000" w:type="dxa"/>
            <w:gridSpan w:val="2"/>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sz w:val="18"/>
                <w:szCs w:val="18"/>
              </w:rPr>
            </w:pPr>
          </w:p>
        </w:tc>
        <w:tc>
          <w:tcPr>
            <w:tcW w:w="1997" w:type="dxa"/>
            <w:gridSpan w:val="2"/>
            <w:tcBorders>
              <w:top w:val="single" w:color="FFFFFF" w:sz="4" w:space="0"/>
              <w:left w:val="single" w:color="FFFFFF" w:sz="4" w:space="0"/>
              <w:bottom w:val="nil"/>
              <w:right w:val="single" w:color="FFFFFF" w:sz="4" w:space="0"/>
            </w:tcBorders>
            <w:shd w:val="clear" w:color="auto" w:fill="auto"/>
            <w:noWrap/>
            <w:vAlign w:val="center"/>
          </w:tcPr>
          <w:p>
            <w:pPr>
              <w:rPr>
                <w:rFonts w:ascii="宋体" w:hAnsi="宋体" w:cs="宋体"/>
                <w:color w:val="000000"/>
                <w:sz w:val="18"/>
                <w:szCs w:val="18"/>
              </w:rPr>
            </w:pPr>
          </w:p>
        </w:tc>
        <w:tc>
          <w:tcPr>
            <w:tcW w:w="1996" w:type="dxa"/>
            <w:gridSpan w:val="2"/>
            <w:tcBorders>
              <w:top w:val="single" w:color="FFFFFF" w:sz="4" w:space="0"/>
              <w:left w:val="single" w:color="FFFFFF" w:sz="4" w:space="0"/>
              <w:bottom w:val="nil"/>
              <w:right w:val="single" w:color="FFFFFF"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108" w:type="dxa"/>
            <w:bottom w:w="0" w:type="dxa"/>
            <w:right w:w="108" w:type="dxa"/>
          </w:tblCellMar>
        </w:tblPrEx>
        <w:trPr>
          <w:trHeight w:val="488" w:hRule="atLeast"/>
        </w:trPr>
        <w:tc>
          <w:tcPr>
            <w:tcW w:w="8414"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    目</w:t>
            </w:r>
          </w:p>
        </w:tc>
        <w:tc>
          <w:tcPr>
            <w:tcW w:w="599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本年国有资本经营预算支出</w:t>
            </w:r>
          </w:p>
        </w:tc>
      </w:tr>
      <w:tr>
        <w:tblPrEx>
          <w:tblCellMar>
            <w:top w:w="0" w:type="dxa"/>
            <w:left w:w="108" w:type="dxa"/>
            <w:bottom w:w="0" w:type="dxa"/>
            <w:right w:w="108" w:type="dxa"/>
          </w:tblCellMar>
        </w:tblPrEx>
        <w:trPr>
          <w:trHeight w:val="488" w:hRule="atLeast"/>
        </w:trPr>
        <w:tc>
          <w:tcPr>
            <w:tcW w:w="225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科目编码</w:t>
            </w:r>
          </w:p>
        </w:tc>
        <w:tc>
          <w:tcPr>
            <w:tcW w:w="15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单位代码</w:t>
            </w:r>
          </w:p>
        </w:tc>
        <w:tc>
          <w:tcPr>
            <w:tcW w:w="464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单位名称（科目）</w:t>
            </w:r>
          </w:p>
        </w:tc>
        <w:tc>
          <w:tcPr>
            <w:tcW w:w="20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合计</w:t>
            </w:r>
          </w:p>
        </w:tc>
        <w:tc>
          <w:tcPr>
            <w:tcW w:w="19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基本支出</w:t>
            </w:r>
          </w:p>
        </w:tc>
        <w:tc>
          <w:tcPr>
            <w:tcW w:w="199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项目支出</w:t>
            </w:r>
          </w:p>
        </w:tc>
      </w:tr>
      <w:tr>
        <w:tblPrEx>
          <w:tblCellMar>
            <w:top w:w="0" w:type="dxa"/>
            <w:left w:w="108" w:type="dxa"/>
            <w:bottom w:w="0" w:type="dxa"/>
            <w:right w:w="108" w:type="dxa"/>
          </w:tblCellMar>
        </w:tblPrEx>
        <w:trPr>
          <w:trHeight w:val="488"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类</w:t>
            </w: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款</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项</w:t>
            </w:r>
          </w:p>
        </w:tc>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64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20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9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9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 w:val="22"/>
                <w:szCs w:val="22"/>
              </w:rPr>
            </w:pPr>
          </w:p>
        </w:tc>
        <w:tc>
          <w:tcPr>
            <w:tcW w:w="46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合    计</w:t>
            </w: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b/>
                <w:bCs/>
                <w:color w:val="000000"/>
                <w:sz w:val="22"/>
                <w:szCs w:val="22"/>
              </w:rPr>
            </w:pPr>
          </w:p>
        </w:tc>
      </w:tr>
      <w:tr>
        <w:tblPrEx>
          <w:tblCellMar>
            <w:top w:w="0" w:type="dxa"/>
            <w:left w:w="108" w:type="dxa"/>
            <w:bottom w:w="0" w:type="dxa"/>
            <w:right w:w="108" w:type="dxa"/>
          </w:tblCellMar>
        </w:tblPrEx>
        <w:trPr>
          <w:trHeight w:val="456"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46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46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46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46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46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46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46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r>
        <w:tblPrEx>
          <w:tblCellMar>
            <w:top w:w="0" w:type="dxa"/>
            <w:left w:w="108" w:type="dxa"/>
            <w:bottom w:w="0" w:type="dxa"/>
            <w:right w:w="108" w:type="dxa"/>
          </w:tblCellMar>
        </w:tblPrEx>
        <w:trPr>
          <w:trHeight w:val="456" w:hRule="atLeast"/>
        </w:trPr>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szCs w:val="22"/>
              </w:rPr>
            </w:pPr>
          </w:p>
        </w:tc>
        <w:tc>
          <w:tcPr>
            <w:tcW w:w="46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szCs w:val="22"/>
              </w:rPr>
            </w:pPr>
          </w:p>
        </w:tc>
        <w:tc>
          <w:tcPr>
            <w:tcW w:w="20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szCs w:val="22"/>
              </w:rPr>
            </w:pPr>
          </w:p>
        </w:tc>
      </w:tr>
    </w:tbl>
    <w:p>
      <w:pPr>
        <w:widowControl/>
        <w:jc w:val="left"/>
        <w:textAlignment w:val="center"/>
        <w:rPr>
          <w:rFonts w:ascii="仿宋_GB2312" w:hAnsi="仿宋_GB2312" w:eastAsia="仿宋_GB2312" w:cs="仿宋_GB2312"/>
          <w:sz w:val="32"/>
          <w:szCs w:val="32"/>
        </w:rPr>
      </w:pPr>
      <w:r>
        <w:rPr>
          <w:rFonts w:hint="eastAsia" w:ascii="方正黑体简体" w:hAnsi="方正黑体简体" w:cs="方正黑体简体" w:eastAsiaTheme="minorEastAsia"/>
          <w:color w:val="000000"/>
          <w:kern w:val="0"/>
          <w:sz w:val="24"/>
        </w:rPr>
        <w:t>注：本表无数据</w:t>
      </w:r>
      <w:r>
        <w:rPr>
          <w:rFonts w:hint="eastAsia" w:ascii="仿宋_GB2312" w:hAnsi="仿宋_GB2312" w:eastAsia="仿宋_GB2312" w:cs="仿宋_GB2312"/>
          <w:sz w:val="32"/>
          <w:szCs w:val="32"/>
        </w:rPr>
        <w:br w:type="page"/>
      </w:r>
    </w:p>
    <w:tbl>
      <w:tblPr>
        <w:tblStyle w:val="13"/>
        <w:tblW w:w="14056" w:type="dxa"/>
        <w:tblInd w:w="93" w:type="dxa"/>
        <w:tblLayout w:type="fixed"/>
        <w:tblCellMar>
          <w:top w:w="0" w:type="dxa"/>
          <w:left w:w="108" w:type="dxa"/>
          <w:bottom w:w="0" w:type="dxa"/>
          <w:right w:w="108" w:type="dxa"/>
        </w:tblCellMar>
      </w:tblPr>
      <w:tblGrid>
        <w:gridCol w:w="1080"/>
        <w:gridCol w:w="1080"/>
        <w:gridCol w:w="1080"/>
        <w:gridCol w:w="1080"/>
        <w:gridCol w:w="1005"/>
        <w:gridCol w:w="1040"/>
        <w:gridCol w:w="1740"/>
        <w:gridCol w:w="880"/>
        <w:gridCol w:w="900"/>
        <w:gridCol w:w="720"/>
        <w:gridCol w:w="1050"/>
        <w:gridCol w:w="1060"/>
        <w:gridCol w:w="1341"/>
      </w:tblGrid>
      <w:tr>
        <w:tblPrEx>
          <w:tblCellMar>
            <w:top w:w="0" w:type="dxa"/>
            <w:left w:w="108" w:type="dxa"/>
            <w:bottom w:w="0" w:type="dxa"/>
            <w:right w:w="108" w:type="dxa"/>
          </w:tblCellMar>
        </w:tblPrEx>
        <w:trPr>
          <w:trHeight w:val="600" w:hRule="atLeast"/>
        </w:trPr>
        <w:tc>
          <w:tcPr>
            <w:tcW w:w="14056" w:type="dxa"/>
            <w:gridSpan w:val="13"/>
            <w:tcBorders>
              <w:top w:val="single" w:color="FFFFFF" w:sz="4" w:space="0"/>
              <w:left w:val="single" w:color="FFFFFF" w:sz="4" w:space="0"/>
              <w:bottom w:val="single" w:color="FFFFFF" w:sz="4" w:space="0"/>
              <w:right w:val="single" w:color="FFFFFF" w:sz="4" w:space="0"/>
            </w:tcBorders>
            <w:vAlign w:val="center"/>
          </w:tcPr>
          <w:p>
            <w:pPr>
              <w:widowControl/>
              <w:jc w:val="left"/>
              <w:textAlignment w:val="center"/>
              <w:rPr>
                <w:rFonts w:hint="eastAsia" w:ascii="方正黑体简体" w:hAnsi="方正黑体简体" w:eastAsia="宋体" w:cs="方正黑体简体"/>
                <w:color w:val="000000"/>
                <w:kern w:val="0"/>
                <w:sz w:val="24"/>
                <w:lang w:val="en-US" w:eastAsia="zh-CN"/>
              </w:rPr>
            </w:pPr>
            <w:r>
              <w:rPr>
                <w:rFonts w:hint="eastAsia" w:ascii="方正黑体简体" w:hAnsi="方正黑体简体" w:eastAsia="方正黑体简体" w:cs="方正黑体简体"/>
                <w:color w:val="000000"/>
                <w:kern w:val="0"/>
                <w:sz w:val="24"/>
              </w:rPr>
              <w:t>附表1</w:t>
            </w:r>
            <w:r>
              <w:rPr>
                <w:rFonts w:hint="eastAsia" w:ascii="方正黑体简体" w:hAnsi="方正黑体简体" w:eastAsia="宋体" w:cs="方正黑体简体"/>
                <w:color w:val="000000"/>
                <w:kern w:val="0"/>
                <w:sz w:val="24"/>
                <w:lang w:val="en-US" w:eastAsia="zh-CN"/>
              </w:rPr>
              <w:t>3</w:t>
            </w:r>
          </w:p>
          <w:p>
            <w:pPr>
              <w:widowControl/>
              <w:jc w:val="center"/>
              <w:textAlignment w:val="center"/>
              <w:rPr>
                <w:rFonts w:ascii="方正小标宋简体" w:hAnsi="方正小标宋简体" w:eastAsia="方正小标宋简体" w:cs="方正小标宋简体"/>
                <w:color w:val="000000"/>
                <w:kern w:val="0"/>
                <w:sz w:val="44"/>
                <w:szCs w:val="44"/>
              </w:rPr>
            </w:pPr>
            <w:r>
              <w:rPr>
                <w:rFonts w:ascii="方正小标宋简体" w:hAnsi="方正小标宋简体" w:eastAsia="方正小标宋简体" w:cs="方正小标宋简体"/>
                <w:color w:val="000000"/>
                <w:kern w:val="0"/>
                <w:sz w:val="44"/>
                <w:szCs w:val="44"/>
              </w:rPr>
              <w:t>部门预算项目绩效目标表（2025年度）</w:t>
            </w:r>
          </w:p>
          <w:p>
            <w:pPr>
              <w:widowControl/>
              <w:jc w:val="center"/>
              <w:textAlignment w:val="center"/>
              <w:rPr>
                <w:rFonts w:ascii="方正小标宋简体" w:hAnsi="方正小标宋简体" w:eastAsia="方正小标宋简体" w:cs="方正小标宋简体"/>
                <w:color w:val="000000"/>
                <w:kern w:val="0"/>
                <w:sz w:val="44"/>
                <w:szCs w:val="44"/>
              </w:rPr>
            </w:pP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lang w:eastAsia="zh-CN"/>
              </w:rPr>
              <w:t>金额单位：</w:t>
            </w:r>
            <w:r>
              <w:rPr>
                <w:rFonts w:hint="eastAsia" w:ascii="宋体" w:hAnsi="宋体" w:cs="宋体"/>
                <w:color w:val="000000"/>
                <w:kern w:val="0"/>
                <w:sz w:val="20"/>
                <w:szCs w:val="20"/>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6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预算数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年度目标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一级指标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二级指标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三级指标</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性质</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指标值</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度量单位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权重</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指标</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方向性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359304-广元市产品质量监督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检验所</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质检运行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经费</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66.00 </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接受各类委托检验和技术服务500批次，保障日常检验工作正常开展，保障聘用人员基本工资福利、支部党建、物业管理等日常工作正常开展。</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购置检验设备</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接受委托检验和技术服务</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批次</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聘请聘用人员</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设备验收合格率</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委托检验准确率</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委托检验时效</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聘用人员工资当月发放时效</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设备验收时效</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聘用人员费用成本</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委托检验成本费用</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设备采购费用</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委托检验结论使用率</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5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促进地方经济发展</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级</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委托客户及职工满意度</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48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359304-广元市产品质量监督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检验所</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产品质量监督抽查经费</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 </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完成全市重点工业等产品质量监督抽查100批次。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完成市级监督抽查产品</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批次</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市级监督抽查产品完成率</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产品检验时效</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工作日</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每批次抽检成本</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1966"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准确为政府市场监管部门提供质量检验信息和数据，防止区域性产品质量安全问题发生，保障人民群众生命财产安全。</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级</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促进地方产业高质量发展</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级</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抽查企业满意度</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正向指标</w:t>
            </w:r>
          </w:p>
        </w:tc>
      </w:tr>
    </w:tbl>
    <w:p>
      <w:pPr>
        <w:rPr>
          <w:rFonts w:ascii="仿宋_GB2312" w:hAnsi="仿宋_GB2312" w:eastAsia="仿宋_GB2312" w:cs="仿宋_GB2312"/>
          <w:sz w:val="32"/>
          <w:szCs w:val="32"/>
        </w:rPr>
      </w:pPr>
    </w:p>
    <w:sectPr>
      <w:pgSz w:w="16838" w:h="11906" w:orient="landscape"/>
      <w:pgMar w:top="1587" w:right="2098" w:bottom="1474" w:left="1984" w:header="720" w:footer="1559"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3F00" w:csb1="01000000"/>
  </w:font>
  <w:font w:name="Liberation Sans">
    <w:panose1 w:val="020B0604020202020204"/>
    <w:charset w:val="00"/>
    <w:family w:val="swiss"/>
    <w:pitch w:val="default"/>
    <w:sig w:usb0="A00002AF" w:usb1="500078FB" w:usb2="00000000" w:usb3="00000000" w:csb0="6000009F" w:csb1="DFD70000"/>
  </w:font>
  <w:font w:name="Noto Sans CJK SC Regular">
    <w:panose1 w:val="020B0500000000000000"/>
    <w:charset w:val="86"/>
    <w:family w:val="auto"/>
    <w:pitch w:val="default"/>
    <w:sig w:usb0="30000003" w:usb1="2BDF3C10" w:usb2="00000016" w:usb3="00000000" w:csb0="602E0107"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Dialog . plain">
    <w:altName w:val="华文中宋"/>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Dialog . bold">
    <w:altName w:val="华文中宋"/>
    <w:panose1 w:val="00000000000000000000"/>
    <w:charset w:val="00"/>
    <w:family w:val="auto"/>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简体">
    <w:altName w:val="Times New Roman"/>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lang w:val="en-US"/>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DOqXm5zwAAAAUBAAAPAAAAAAAAAAEAIAAAADgAAABkcnMvZG93bnJldi54bWxQSwECFAAUAAAA&#10;CACHTuJA3rEPMeEBAADMAwAADgAAAAAAAAABACAAAAA0AQAAZHJzL2Uyb0RvYy54bWxQSwUGAAAA&#10;AAYABgBZAQAAhwUAAAAA&#10;">
              <v:fill on="f" focussize="0,0"/>
              <v:stroke on="f"/>
              <v:imagedata o:title=""/>
              <o:lock v:ext="edit" aspectratio="f"/>
              <v:textbox inset="0mm,0mm,0mm,0mm" style="mso-fit-shape-to-text:t;">
                <w:txbxContent>
                  <w:p>
                    <w:pPr>
                      <w:pStyle w:val="7"/>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r>
      <w:rPr>
        <w:rFonts w:hint="eastAsia"/>
        <w:lang w:val="en-US" w:eastAsia="zh-CN"/>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8BADF"/>
    <w:multiLevelType w:val="singleLevel"/>
    <w:tmpl w:val="86E8BADF"/>
    <w:lvl w:ilvl="0" w:tentative="0">
      <w:start w:val="5"/>
      <w:numFmt w:val="chineseCounting"/>
      <w:suff w:val="nothing"/>
      <w:lvlText w:val="%1、"/>
      <w:lvlJc w:val="left"/>
      <w:rPr>
        <w:rFonts w:hint="eastAsia"/>
      </w:rPr>
    </w:lvl>
  </w:abstractNum>
  <w:abstractNum w:abstractNumId="1">
    <w:nsid w:val="FBB4C73A"/>
    <w:multiLevelType w:val="singleLevel"/>
    <w:tmpl w:val="FBB4C73A"/>
    <w:lvl w:ilvl="0" w:tentative="0">
      <w:start w:val="1"/>
      <w:numFmt w:val="chineseCounting"/>
      <w:suff w:val="nothing"/>
      <w:lvlText w:val="%1、"/>
      <w:lvlJc w:val="left"/>
      <w:rPr>
        <w:rFonts w:hint="eastAsia"/>
      </w:rPr>
    </w:lvl>
  </w:abstractNum>
  <w:abstractNum w:abstractNumId="2">
    <w:nsid w:val="3FFF1F26"/>
    <w:multiLevelType w:val="singleLevel"/>
    <w:tmpl w:val="3FFF1F26"/>
    <w:lvl w:ilvl="0" w:tentative="0">
      <w:start w:val="1"/>
      <w:numFmt w:val="chineseCounting"/>
      <w:suff w:val="nothing"/>
      <w:lvlText w:val="%1、"/>
      <w:lvlJc w:val="left"/>
      <w:pPr>
        <w:ind w:left="160" w:firstLine="0"/>
      </w:pPr>
      <w:rPr>
        <w:rFonts w:hint="eastAsia"/>
      </w:rPr>
    </w:lvl>
  </w:abstractNum>
  <w:abstractNum w:abstractNumId="3">
    <w:nsid w:val="5A96FE96"/>
    <w:multiLevelType w:val="singleLevel"/>
    <w:tmpl w:val="5A96FE96"/>
    <w:lvl w:ilvl="0" w:tentative="0">
      <w:start w:val="1"/>
      <w:numFmt w:val="chineseCounting"/>
      <w:suff w:val="nothing"/>
      <w:lvlText w:val="（%1）"/>
      <w:lvlJc w:val="left"/>
      <w:rPr>
        <w:rFonts w:hint="eastAsia"/>
      </w:rPr>
    </w:lvl>
  </w:abstractNum>
  <w:abstractNum w:abstractNumId="4">
    <w:nsid w:val="5ECE03BF"/>
    <w:multiLevelType w:val="singleLevel"/>
    <w:tmpl w:val="5ECE03BF"/>
    <w:lvl w:ilvl="0" w:tentative="0">
      <w:start w:val="1"/>
      <w:numFmt w:val="chineseCounting"/>
      <w:suff w:val="space"/>
      <w:lvlText w:val="第%1部分"/>
      <w:lvlJc w:val="left"/>
      <w:rPr>
        <w:rFonts w:hint="eastAsia"/>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rawingGridHorizontalSpacing w:val="1"/>
  <w:drawingGridVerticalSpacing w:val="3189"/>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5MTc1YWUzNDk5OThmNzcwNDRiNmRkMjhiZTRiMmMifQ=="/>
  </w:docVars>
  <w:rsids>
    <w:rsidRoot w:val="009863DB"/>
    <w:rsid w:val="00037005"/>
    <w:rsid w:val="0005579B"/>
    <w:rsid w:val="00071B41"/>
    <w:rsid w:val="00094718"/>
    <w:rsid w:val="000B78F3"/>
    <w:rsid w:val="001007A0"/>
    <w:rsid w:val="001021F4"/>
    <w:rsid w:val="001025F4"/>
    <w:rsid w:val="001464B8"/>
    <w:rsid w:val="001633FC"/>
    <w:rsid w:val="00167D8D"/>
    <w:rsid w:val="001730C2"/>
    <w:rsid w:val="00180452"/>
    <w:rsid w:val="001B148A"/>
    <w:rsid w:val="001E2293"/>
    <w:rsid w:val="001F4FD3"/>
    <w:rsid w:val="0022528A"/>
    <w:rsid w:val="0025400E"/>
    <w:rsid w:val="002959B7"/>
    <w:rsid w:val="002C1FBB"/>
    <w:rsid w:val="002F2B3C"/>
    <w:rsid w:val="002F7B1C"/>
    <w:rsid w:val="00335C82"/>
    <w:rsid w:val="003523DF"/>
    <w:rsid w:val="00353426"/>
    <w:rsid w:val="003B3514"/>
    <w:rsid w:val="003B5247"/>
    <w:rsid w:val="00401ACA"/>
    <w:rsid w:val="00410ACB"/>
    <w:rsid w:val="00424CDA"/>
    <w:rsid w:val="00432B22"/>
    <w:rsid w:val="00447FEF"/>
    <w:rsid w:val="004A0169"/>
    <w:rsid w:val="004A58B2"/>
    <w:rsid w:val="004B101F"/>
    <w:rsid w:val="004D2A50"/>
    <w:rsid w:val="005206ED"/>
    <w:rsid w:val="00542E7B"/>
    <w:rsid w:val="005510FE"/>
    <w:rsid w:val="005573AD"/>
    <w:rsid w:val="0056502A"/>
    <w:rsid w:val="00596A27"/>
    <w:rsid w:val="005A683B"/>
    <w:rsid w:val="005C6C26"/>
    <w:rsid w:val="00662B0E"/>
    <w:rsid w:val="006827E9"/>
    <w:rsid w:val="006E0F72"/>
    <w:rsid w:val="00730833"/>
    <w:rsid w:val="00762053"/>
    <w:rsid w:val="00765D34"/>
    <w:rsid w:val="00775DCD"/>
    <w:rsid w:val="007B1B1E"/>
    <w:rsid w:val="007B3BF7"/>
    <w:rsid w:val="007C7A28"/>
    <w:rsid w:val="007D748D"/>
    <w:rsid w:val="007E0BD5"/>
    <w:rsid w:val="007F0E22"/>
    <w:rsid w:val="0083339A"/>
    <w:rsid w:val="008A45F2"/>
    <w:rsid w:val="008A4DE8"/>
    <w:rsid w:val="008C2080"/>
    <w:rsid w:val="008F0E8A"/>
    <w:rsid w:val="00915F72"/>
    <w:rsid w:val="00965A19"/>
    <w:rsid w:val="00971A84"/>
    <w:rsid w:val="009863DB"/>
    <w:rsid w:val="00994BEE"/>
    <w:rsid w:val="00996359"/>
    <w:rsid w:val="009E2D51"/>
    <w:rsid w:val="00A1131E"/>
    <w:rsid w:val="00A13FF8"/>
    <w:rsid w:val="00A160F8"/>
    <w:rsid w:val="00A26745"/>
    <w:rsid w:val="00A64DF8"/>
    <w:rsid w:val="00A66F2B"/>
    <w:rsid w:val="00A7756F"/>
    <w:rsid w:val="00B27654"/>
    <w:rsid w:val="00BA3DAE"/>
    <w:rsid w:val="00BB059B"/>
    <w:rsid w:val="00BB4333"/>
    <w:rsid w:val="00BC1151"/>
    <w:rsid w:val="00BC5C13"/>
    <w:rsid w:val="00BD52BD"/>
    <w:rsid w:val="00BE20F0"/>
    <w:rsid w:val="00C04A73"/>
    <w:rsid w:val="00C12DAF"/>
    <w:rsid w:val="00C35436"/>
    <w:rsid w:val="00C42146"/>
    <w:rsid w:val="00C863D1"/>
    <w:rsid w:val="00CA52AF"/>
    <w:rsid w:val="00CA5D15"/>
    <w:rsid w:val="00CB1266"/>
    <w:rsid w:val="00CB1C73"/>
    <w:rsid w:val="00CB7B43"/>
    <w:rsid w:val="00CC0F07"/>
    <w:rsid w:val="00CC5C6B"/>
    <w:rsid w:val="00D01C77"/>
    <w:rsid w:val="00D2518F"/>
    <w:rsid w:val="00D4378C"/>
    <w:rsid w:val="00D47211"/>
    <w:rsid w:val="00D75682"/>
    <w:rsid w:val="00DC172E"/>
    <w:rsid w:val="00DE7005"/>
    <w:rsid w:val="00DF6E2E"/>
    <w:rsid w:val="00E12AD0"/>
    <w:rsid w:val="00E33AF0"/>
    <w:rsid w:val="00E460C7"/>
    <w:rsid w:val="00E467A4"/>
    <w:rsid w:val="00E633B9"/>
    <w:rsid w:val="00EA5E84"/>
    <w:rsid w:val="00EB6F0C"/>
    <w:rsid w:val="00ED4CCE"/>
    <w:rsid w:val="00ED5BA9"/>
    <w:rsid w:val="00ED717D"/>
    <w:rsid w:val="00F17CBC"/>
    <w:rsid w:val="00F20EB2"/>
    <w:rsid w:val="00F310D1"/>
    <w:rsid w:val="00F37710"/>
    <w:rsid w:val="00F709AA"/>
    <w:rsid w:val="00F75259"/>
    <w:rsid w:val="00F971E7"/>
    <w:rsid w:val="012352D1"/>
    <w:rsid w:val="01E51E07"/>
    <w:rsid w:val="1D9F113A"/>
    <w:rsid w:val="1F7BF06F"/>
    <w:rsid w:val="1FEE4B73"/>
    <w:rsid w:val="23CE9849"/>
    <w:rsid w:val="24441EFC"/>
    <w:rsid w:val="2F3539E8"/>
    <w:rsid w:val="372799D5"/>
    <w:rsid w:val="39F304DD"/>
    <w:rsid w:val="3FFEA2A5"/>
    <w:rsid w:val="46CFEED0"/>
    <w:rsid w:val="51E22EC3"/>
    <w:rsid w:val="54244390"/>
    <w:rsid w:val="54662A63"/>
    <w:rsid w:val="55EB6693"/>
    <w:rsid w:val="58064E12"/>
    <w:rsid w:val="5BFEE015"/>
    <w:rsid w:val="5BFF6247"/>
    <w:rsid w:val="5DFD075F"/>
    <w:rsid w:val="5F1B8CFC"/>
    <w:rsid w:val="5FF679D4"/>
    <w:rsid w:val="63EDCF55"/>
    <w:rsid w:val="63FBFBCF"/>
    <w:rsid w:val="669360FD"/>
    <w:rsid w:val="68FF6A83"/>
    <w:rsid w:val="6AEF6005"/>
    <w:rsid w:val="6E3DB48E"/>
    <w:rsid w:val="6FBBC9CF"/>
    <w:rsid w:val="72BDE561"/>
    <w:rsid w:val="78123AF1"/>
    <w:rsid w:val="78462278"/>
    <w:rsid w:val="7997EA6C"/>
    <w:rsid w:val="7AEAE675"/>
    <w:rsid w:val="7BAFCE5D"/>
    <w:rsid w:val="7D46598C"/>
    <w:rsid w:val="7D9F8F0F"/>
    <w:rsid w:val="7DEF30D5"/>
    <w:rsid w:val="7DFB240B"/>
    <w:rsid w:val="7DFE05E7"/>
    <w:rsid w:val="7E0935ED"/>
    <w:rsid w:val="7ED7A56A"/>
    <w:rsid w:val="7FCF2AF7"/>
    <w:rsid w:val="9FEF033D"/>
    <w:rsid w:val="A27FF1E5"/>
    <w:rsid w:val="A9CFD93D"/>
    <w:rsid w:val="ABFEA5DB"/>
    <w:rsid w:val="AF3FEDDD"/>
    <w:rsid w:val="AFDEB5A7"/>
    <w:rsid w:val="AFEA7FBF"/>
    <w:rsid w:val="B83F4767"/>
    <w:rsid w:val="BF930F07"/>
    <w:rsid w:val="BFCE8436"/>
    <w:rsid w:val="C3F7EB7A"/>
    <w:rsid w:val="CFBD8222"/>
    <w:rsid w:val="CFF5FEEC"/>
    <w:rsid w:val="D3DD9064"/>
    <w:rsid w:val="D6F76A0C"/>
    <w:rsid w:val="D7ECE8D2"/>
    <w:rsid w:val="DD2BC8C0"/>
    <w:rsid w:val="DFDD4FB5"/>
    <w:rsid w:val="E3FC5BBD"/>
    <w:rsid w:val="E7EF1B7B"/>
    <w:rsid w:val="E7F748B5"/>
    <w:rsid w:val="EE5F3713"/>
    <w:rsid w:val="EFC9D62C"/>
    <w:rsid w:val="F61F91D3"/>
    <w:rsid w:val="F6BE9755"/>
    <w:rsid w:val="F6FFA89B"/>
    <w:rsid w:val="F7FFA4EB"/>
    <w:rsid w:val="F88D0DC7"/>
    <w:rsid w:val="FAE4EFE1"/>
    <w:rsid w:val="FB9B6F12"/>
    <w:rsid w:val="FBB66A4A"/>
    <w:rsid w:val="FBF7C4DC"/>
    <w:rsid w:val="FDEE6989"/>
    <w:rsid w:val="FE3FE3D1"/>
    <w:rsid w:val="FEFF0922"/>
    <w:rsid w:val="FF5E7DB8"/>
    <w:rsid w:val="FF77E367"/>
    <w:rsid w:val="FFD576EB"/>
    <w:rsid w:val="FFDB1578"/>
    <w:rsid w:val="FFFADE43"/>
    <w:rsid w:val="FFFBE8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outlineLvl w:val="0"/>
    </w:pPr>
    <w:rPr>
      <w:b/>
      <w:bCs/>
      <w:kern w:val="44"/>
      <w:sz w:val="44"/>
      <w:szCs w:val="4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qFormat/>
    <w:uiPriority w:val="0"/>
    <w:pPr>
      <w:suppressLineNumbers/>
      <w:spacing w:before="120" w:after="120"/>
    </w:pPr>
    <w:rPr>
      <w:i/>
      <w:iCs/>
      <w:sz w:val="24"/>
    </w:rPr>
  </w:style>
  <w:style w:type="paragraph" w:styleId="4">
    <w:name w:val="Body Text"/>
    <w:basedOn w:val="1"/>
    <w:qFormat/>
    <w:uiPriority w:val="0"/>
    <w:pPr>
      <w:spacing w:after="140" w:line="276" w:lineRule="auto"/>
    </w:pPr>
  </w:style>
  <w:style w:type="paragraph" w:styleId="5">
    <w:name w:val="toc 3"/>
    <w:basedOn w:val="1"/>
    <w:next w:val="1"/>
    <w:unhideWhenUsed/>
    <w:qFormat/>
    <w:uiPriority w:val="39"/>
    <w:pPr>
      <w:widowControl/>
      <w:suppressAutoHyphens w:val="0"/>
      <w:spacing w:after="100" w:line="276" w:lineRule="auto"/>
      <w:ind w:left="440"/>
      <w:jc w:val="left"/>
    </w:pPr>
    <w:rPr>
      <w:rFonts w:asciiTheme="minorHAnsi" w:hAnsiTheme="minorHAnsi" w:eastAsiaTheme="minorEastAsia" w:cstheme="minorBidi"/>
      <w:kern w:val="0"/>
      <w:sz w:val="22"/>
      <w:szCs w:val="22"/>
    </w:rPr>
  </w:style>
  <w:style w:type="paragraph" w:styleId="6">
    <w:name w:val="Balloon Text"/>
    <w:basedOn w:val="1"/>
    <w:link w:val="26"/>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pPr>
      <w:widowControl/>
      <w:suppressAutoHyphens w:val="0"/>
      <w:spacing w:after="100" w:line="276" w:lineRule="auto"/>
      <w:jc w:val="left"/>
    </w:pPr>
    <w:rPr>
      <w:rFonts w:asciiTheme="minorHAnsi" w:hAnsiTheme="minorHAnsi" w:eastAsiaTheme="minorEastAsia" w:cstheme="minorBidi"/>
      <w:kern w:val="0"/>
      <w:sz w:val="22"/>
      <w:szCs w:val="22"/>
    </w:rPr>
  </w:style>
  <w:style w:type="paragraph" w:styleId="10">
    <w:name w:val="List"/>
    <w:basedOn w:val="4"/>
    <w:qFormat/>
    <w:uiPriority w:val="0"/>
  </w:style>
  <w:style w:type="paragraph" w:styleId="11">
    <w:name w:val="toc 2"/>
    <w:basedOn w:val="1"/>
    <w:next w:val="1"/>
    <w:unhideWhenUsed/>
    <w:qFormat/>
    <w:uiPriority w:val="39"/>
    <w:pPr>
      <w:widowControl/>
      <w:suppressAutoHyphens w:val="0"/>
      <w:spacing w:after="100" w:line="276" w:lineRule="auto"/>
      <w:ind w:left="220"/>
      <w:jc w:val="left"/>
    </w:pPr>
    <w:rPr>
      <w:rFonts w:asciiTheme="minorHAnsi" w:hAnsiTheme="minorHAnsi" w:eastAsiaTheme="minorEastAsia" w:cstheme="minorBidi"/>
      <w:kern w:val="0"/>
      <w:sz w:val="22"/>
      <w:szCs w:val="22"/>
    </w:rPr>
  </w:style>
  <w:style w:type="paragraph" w:styleId="12">
    <w:name w:val="Normal (Web)"/>
    <w:basedOn w:val="1"/>
    <w:qFormat/>
    <w:uiPriority w:val="0"/>
    <w:pPr>
      <w:spacing w:beforeAutospacing="1" w:afterAutospacing="1"/>
      <w:jc w:val="left"/>
    </w:pPr>
    <w:rPr>
      <w:kern w:val="0"/>
      <w:sz w:val="24"/>
    </w:rPr>
  </w:style>
  <w:style w:type="character" w:styleId="15">
    <w:name w:val="FollowedHyperlink"/>
    <w:basedOn w:val="14"/>
    <w:semiHidden/>
    <w:unhideWhenUsed/>
    <w:qFormat/>
    <w:uiPriority w:val="0"/>
    <w:rPr>
      <w:color w:val="800080" w:themeColor="followedHyperlink"/>
      <w:u w:val="single"/>
      <w14:textFill>
        <w14:solidFill>
          <w14:schemeClr w14:val="folHlink"/>
        </w14:solidFill>
      </w14:textFill>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默认段落字体1"/>
    <w:qFormat/>
    <w:uiPriority w:val="0"/>
  </w:style>
  <w:style w:type="paragraph" w:customStyle="1" w:styleId="18">
    <w:name w:val="Heading"/>
    <w:basedOn w:val="1"/>
    <w:next w:val="4"/>
    <w:qFormat/>
    <w:uiPriority w:val="0"/>
    <w:pPr>
      <w:keepNext/>
      <w:spacing w:before="240" w:after="120"/>
    </w:pPr>
    <w:rPr>
      <w:rFonts w:ascii="Liberation Sans" w:hAnsi="Liberation Sans" w:eastAsia="Noto Sans CJK SC Regular" w:cs="Noto Sans CJK SC Regular"/>
      <w:sz w:val="28"/>
      <w:szCs w:val="28"/>
    </w:rPr>
  </w:style>
  <w:style w:type="paragraph" w:customStyle="1" w:styleId="19">
    <w:name w:val="Index"/>
    <w:basedOn w:val="1"/>
    <w:qFormat/>
    <w:uiPriority w:val="0"/>
    <w:pPr>
      <w:suppressLineNumbers/>
    </w:pPr>
  </w:style>
  <w:style w:type="character" w:customStyle="1" w:styleId="20">
    <w:name w:val="font61"/>
    <w:basedOn w:val="14"/>
    <w:qFormat/>
    <w:uiPriority w:val="0"/>
    <w:rPr>
      <w:rFonts w:hint="eastAsia" w:ascii="宋体" w:hAnsi="宋体" w:eastAsia="宋体" w:cs="宋体"/>
      <w:color w:val="000000"/>
      <w:sz w:val="22"/>
      <w:szCs w:val="22"/>
      <w:u w:val="none"/>
    </w:rPr>
  </w:style>
  <w:style w:type="character" w:customStyle="1" w:styleId="21">
    <w:name w:val="font51"/>
    <w:basedOn w:val="14"/>
    <w:qFormat/>
    <w:uiPriority w:val="0"/>
    <w:rPr>
      <w:rFonts w:hint="eastAsia" w:ascii="宋体" w:hAnsi="宋体" w:eastAsia="宋体" w:cs="宋体"/>
      <w:color w:val="000000"/>
      <w:sz w:val="22"/>
      <w:szCs w:val="22"/>
      <w:u w:val="none"/>
    </w:rPr>
  </w:style>
  <w:style w:type="character" w:customStyle="1" w:styleId="22">
    <w:name w:val="font21"/>
    <w:basedOn w:val="14"/>
    <w:qFormat/>
    <w:uiPriority w:val="0"/>
    <w:rPr>
      <w:rFonts w:hint="eastAsia" w:ascii="宋体" w:hAnsi="宋体" w:eastAsia="宋体" w:cs="宋体"/>
      <w:color w:val="000000"/>
      <w:sz w:val="22"/>
      <w:szCs w:val="22"/>
      <w:u w:val="none"/>
    </w:rPr>
  </w:style>
  <w:style w:type="character" w:customStyle="1" w:styleId="23">
    <w:name w:val="font41"/>
    <w:basedOn w:val="14"/>
    <w:qFormat/>
    <w:uiPriority w:val="0"/>
    <w:rPr>
      <w:rFonts w:hint="eastAsia" w:ascii="宋体" w:hAnsi="宋体" w:eastAsia="宋体" w:cs="宋体"/>
      <w:color w:val="000000"/>
      <w:sz w:val="22"/>
      <w:szCs w:val="22"/>
      <w:u w:val="none"/>
    </w:rPr>
  </w:style>
  <w:style w:type="character" w:customStyle="1" w:styleId="24">
    <w:name w:val="标题 1 Char"/>
    <w:basedOn w:val="14"/>
    <w:link w:val="2"/>
    <w:qFormat/>
    <w:uiPriority w:val="0"/>
    <w:rPr>
      <w:rFonts w:ascii="Calibri" w:hAnsi="Calibri"/>
      <w:b/>
      <w:bCs/>
      <w:kern w:val="44"/>
      <w:sz w:val="44"/>
      <w:szCs w:val="44"/>
    </w:rPr>
  </w:style>
  <w:style w:type="paragraph" w:customStyle="1" w:styleId="25">
    <w:name w:val="TOC 标题1"/>
    <w:basedOn w:val="2"/>
    <w:next w:val="1"/>
    <w:unhideWhenUsed/>
    <w:qFormat/>
    <w:uiPriority w:val="39"/>
    <w:pPr>
      <w:widowControl/>
      <w:suppressAutoHyphens w:val="0"/>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Char"/>
    <w:basedOn w:val="14"/>
    <w:link w:val="6"/>
    <w:qFormat/>
    <w:uiPriority w:val="0"/>
    <w:rPr>
      <w:rFonts w:ascii="Calibri" w:hAnsi="Calibri"/>
      <w:kern w:val="2"/>
      <w:sz w:val="18"/>
      <w:szCs w:val="18"/>
    </w:rPr>
  </w:style>
  <w:style w:type="paragraph" w:customStyle="1" w:styleId="27">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customStyle="1" w:styleId="28">
    <w:name w:val="BlockQuote"/>
    <w:basedOn w:val="1"/>
    <w:qFormat/>
    <w:uiPriority w:val="0"/>
    <w:pPr>
      <w:widowControl/>
      <w:spacing w:line="360" w:lineRule="auto"/>
      <w:ind w:left="900" w:right="-239"/>
      <w:textAlignment w:val="baseline"/>
    </w:pPr>
    <w:rPr>
      <w:rFonts w:ascii="宋体" w:hAnsi="宋体"/>
      <w:color w:val="000000"/>
      <w:sz w:val="24"/>
    </w:rPr>
  </w:style>
  <w:style w:type="character" w:customStyle="1" w:styleId="29">
    <w:name w:val="font91"/>
    <w:basedOn w:val="14"/>
    <w:qFormat/>
    <w:uiPriority w:val="0"/>
    <w:rPr>
      <w:rFonts w:ascii="Dialog . plain" w:hAnsi="Dialog . plain" w:eastAsia="Dialog . plain" w:cs="Dialog . plain"/>
      <w:color w:val="000000"/>
      <w:sz w:val="20"/>
      <w:szCs w:val="20"/>
      <w:u w:val="none"/>
    </w:rPr>
  </w:style>
  <w:style w:type="character" w:customStyle="1" w:styleId="30">
    <w:name w:val="font101"/>
    <w:basedOn w:val="14"/>
    <w:qFormat/>
    <w:uiPriority w:val="0"/>
    <w:rPr>
      <w:rFonts w:hint="default" w:ascii="Dialog . plain" w:hAnsi="Dialog . plain" w:eastAsia="Dialog . plain" w:cs="Dialog . plain"/>
      <w:color w:val="000000"/>
      <w:sz w:val="22"/>
      <w:szCs w:val="22"/>
      <w:u w:val="none"/>
    </w:rPr>
  </w:style>
  <w:style w:type="character" w:customStyle="1" w:styleId="31">
    <w:name w:val="font71"/>
    <w:basedOn w:val="14"/>
    <w:qFormat/>
    <w:uiPriority w:val="0"/>
    <w:rPr>
      <w:rFonts w:ascii="Dialog . bold" w:hAnsi="Dialog . bold" w:eastAsia="Dialog . bold" w:cs="Dialog . bold"/>
      <w:b/>
      <w:bCs/>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39</Pages>
  <Words>5530</Words>
  <Characters>7267</Characters>
  <Lines>103</Lines>
  <Paragraphs>29</Paragraphs>
  <TotalTime>18</TotalTime>
  <ScaleCrop>false</ScaleCrop>
  <LinksUpToDate>false</LinksUpToDate>
  <CharactersWithSpaces>7547</CharactersWithSpaces>
  <Application>WPS Office_11.8.2.1125_F1E327BC-269C-435d-A152-05C5408002CA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2025-02-11T11:48:00Z</dcterms:created>
  <dc:creator>admin</dc:creator>
  <cp:lastModifiedBy> </cp:lastModifiedBy>
  <dcterms:modified xsi:type="dcterms:W3CDTF">2025-02-24T09:35:03Z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2052-11.8.2.1125</vt:lpwstr>
  </property>
  <property fmtid="{D5CDD505-2E9C-101B-9397-08002B2CF9AE}" pid="3" name="ICV">
    <vt:lpwstr>AAFB5058D981FB35C7CCBB6700574768</vt:lpwstr>
  </property>
  <property fmtid="{D5CDD505-2E9C-101B-9397-08002B2CF9AE}" pid="4" name="KSOTemplateDocerSaveRecord">
    <vt:lpwstr>eyJoZGlkIjoiMTUxNGQ4MGZlMWEyMjYxNzUzYjFjN2MyNGNhOWY0ODcifQ==</vt:lpwstr>
  </property>
</Properties>
</file>