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7655"/>
        </w:tabs>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bookmarkStart w:id="0" w:name="_Hlk63590566"/>
      <w:bookmarkEnd w:id="0"/>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46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val="0"/>
        <w:snapToGrid w:val="0"/>
        <w:spacing w:before="0" w:beforeAutospacing="0" w:after="0" w:afterAutospacing="0" w:line="500" w:lineRule="exact"/>
        <w:ind w:left="0" w:right="0" w:firstLine="0"/>
        <w:jc w:val="center"/>
        <w:textAlignment w:val="auto"/>
        <w:outlineLvl w:val="9"/>
        <w:rPr>
          <w:rFonts w:hint="eastAsia" w:ascii="宋体" w:eastAsia="宋体" w:cs="Times New Roman"/>
          <w:snapToGrid/>
          <w:color w:val="auto"/>
          <w:spacing w:val="0"/>
          <w:w w:val="100"/>
          <w:kern w:val="21"/>
          <w:position w:val="0"/>
          <w:sz w:val="32"/>
          <w:szCs w:val="32"/>
          <w:u w:val="none" w:color="auto"/>
          <w:vertAlign w:val="baseline"/>
          <w:lang w:eastAsia="zh-CN" w:bidi="ar-SA"/>
        </w:rPr>
      </w:pPr>
      <w:bookmarkStart w:id="1" w:name="字号"/>
      <w:r>
        <w:rPr>
          <w:rFonts w:hint="eastAsia" w:ascii="仿宋_GB2312" w:eastAsia="仿宋_GB2312" w:cs="Times New Roman"/>
          <w:snapToGrid/>
          <w:color w:val="auto"/>
          <w:spacing w:val="0"/>
          <w:w w:val="100"/>
          <w:kern w:val="21"/>
          <w:position w:val="0"/>
          <w:sz w:val="32"/>
          <w:szCs w:val="32"/>
          <w:u w:val="none" w:color="auto"/>
          <w:vertAlign w:val="baseline"/>
          <w:lang w:eastAsia="zh-CN" w:bidi="ar-SA"/>
        </w:rPr>
        <w:t>广市监办〔202</w:t>
      </w:r>
      <w:r>
        <w:rPr>
          <w:rFonts w:hint="eastAsia" w:ascii="仿宋_GB2312" w:eastAsia="仿宋_GB2312" w:cs="Times New Roman"/>
          <w:snapToGrid/>
          <w:color w:val="auto"/>
          <w:spacing w:val="0"/>
          <w:w w:val="100"/>
          <w:kern w:val="21"/>
          <w:position w:val="0"/>
          <w:sz w:val="32"/>
          <w:szCs w:val="32"/>
          <w:u w:val="none" w:color="auto"/>
          <w:vertAlign w:val="baseline"/>
          <w:lang w:val="en-US" w:eastAsia="zh-CN" w:bidi="ar-SA"/>
        </w:rPr>
        <w:t>4</w:t>
      </w:r>
      <w:r>
        <w:rPr>
          <w:rFonts w:hint="eastAsia" w:ascii="仿宋_GB2312" w:eastAsia="仿宋_GB2312" w:cs="Times New Roman"/>
          <w:snapToGrid/>
          <w:color w:val="auto"/>
          <w:spacing w:val="0"/>
          <w:w w:val="100"/>
          <w:kern w:val="21"/>
          <w:position w:val="0"/>
          <w:sz w:val="32"/>
          <w:szCs w:val="32"/>
          <w:u w:val="none" w:color="auto"/>
          <w:vertAlign w:val="baseline"/>
          <w:lang w:eastAsia="zh-CN" w:bidi="ar-SA"/>
        </w:rPr>
        <w:t>〕</w:t>
      </w:r>
      <w:bookmarkEnd w:id="1"/>
      <w:r>
        <w:rPr>
          <w:rFonts w:hint="eastAsia" w:ascii="仿宋_GB2312" w:eastAsia="仿宋_GB2312" w:cs="Times New Roman"/>
          <w:snapToGrid/>
          <w:color w:val="auto"/>
          <w:spacing w:val="0"/>
          <w:w w:val="100"/>
          <w:kern w:val="21"/>
          <w:position w:val="0"/>
          <w:sz w:val="32"/>
          <w:szCs w:val="32"/>
          <w:u w:val="none" w:color="auto"/>
          <w:vertAlign w:val="baseline"/>
          <w:lang w:val="en-US" w:eastAsia="zh-CN" w:bidi="ar-SA"/>
        </w:rPr>
        <w:t>18</w:t>
      </w:r>
      <w:r>
        <w:rPr>
          <w:rFonts w:hint="eastAsia" w:ascii="仿宋_GB2312" w:eastAsia="仿宋_GB2312" w:cs="Times New Roman"/>
          <w:snapToGrid/>
          <w:color w:val="auto"/>
          <w:spacing w:val="0"/>
          <w:w w:val="100"/>
          <w:kern w:val="21"/>
          <w:position w:val="0"/>
          <w:sz w:val="32"/>
          <w:szCs w:val="32"/>
          <w:u w:val="none" w:color="auto"/>
          <w:vertAlign w:val="baseline"/>
          <w:lang w:eastAsia="zh-CN" w:bidi="ar-SA"/>
        </w:rPr>
        <w:t>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val="0"/>
        <w:snapToGrid w:val="0"/>
        <w:spacing w:before="0" w:beforeAutospacing="0" w:after="0" w:afterAutospacing="0" w:line="500" w:lineRule="exact"/>
        <w:ind w:left="0" w:right="0" w:firstLine="0"/>
        <w:jc w:val="center"/>
        <w:textAlignment w:val="auto"/>
        <w:outlineLvl w:val="9"/>
        <w:rPr>
          <w:rFonts w:hint="eastAsia" w:ascii="宋体" w:eastAsia="宋体" w:cs="Times New Roman"/>
          <w:snapToGrid/>
          <w:color w:val="auto"/>
          <w:spacing w:val="0"/>
          <w:w w:val="100"/>
          <w:kern w:val="21"/>
          <w:position w:val="0"/>
          <w:sz w:val="28"/>
          <w:szCs w:val="28"/>
          <w:u w:val="none" w:color="auto"/>
          <w:vertAlign w:val="baseline"/>
          <w:lang w:eastAsia="zh-CN" w:bidi="ar-SA"/>
        </w:rPr>
      </w:pPr>
      <w:bookmarkStart w:id="2" w:name="_GoBack"/>
      <w:bookmarkEnd w:id="2"/>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1701"/>
          <w:tab w:val="left" w:pos="7513"/>
          <w:tab w:val="left" w:pos="7655"/>
          <w:tab w:val="left" w:pos="7797"/>
        </w:tabs>
        <w:suppressAutoHyphens/>
        <w:kinsoku/>
        <w:wordWrap/>
        <w:overflowPunct/>
        <w:topLinePunct w:val="0"/>
        <w:autoSpaceDE/>
        <w:autoSpaceDN/>
        <w:bidi w:val="0"/>
        <w:adjustRightInd/>
        <w:snapToGrid/>
        <w:spacing w:before="0" w:beforeAutospacing="0" w:after="0" w:afterAutospacing="0" w:line="900" w:lineRule="exact"/>
        <w:ind w:left="0" w:right="0" w:firstLine="0"/>
        <w:jc w:val="center"/>
        <w:textAlignment w:val="auto"/>
        <w:outlineLvl w:val="9"/>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pPr>
    </w:p>
    <w:p>
      <w:pPr>
        <w:spacing w:line="600" w:lineRule="exact"/>
        <w:jc w:val="center"/>
        <w:rPr>
          <w:rFonts w:hint="eastAsia" w:ascii="方正小标宋简体" w:eastAsia="方正小标宋简体"/>
          <w:color w:val="auto"/>
          <w:spacing w:val="0"/>
          <w:kern w:val="21"/>
          <w:sz w:val="44"/>
          <w:szCs w:val="44"/>
        </w:rPr>
      </w:pPr>
      <w:r>
        <w:rPr>
          <w:rFonts w:hint="eastAsia" w:ascii="方正小标宋简体" w:eastAsia="方正小标宋简体"/>
          <w:color w:val="auto"/>
          <w:spacing w:val="0"/>
          <w:kern w:val="21"/>
          <w:sz w:val="44"/>
          <w:szCs w:val="44"/>
        </w:rPr>
        <w:t>广元市市场监督管理局</w:t>
      </w:r>
      <w:r>
        <w:rPr>
          <w:rFonts w:hint="eastAsia" w:ascii="方正小标宋简体" w:eastAsia="方正小标宋简体"/>
          <w:color w:val="auto"/>
          <w:spacing w:val="0"/>
          <w:kern w:val="21"/>
          <w:sz w:val="44"/>
          <w:szCs w:val="44"/>
          <w:lang w:val="en-US" w:eastAsia="zh-CN"/>
        </w:rPr>
        <w:t>办公室</w:t>
      </w:r>
    </w:p>
    <w:p>
      <w:pPr>
        <w:spacing w:line="600" w:lineRule="exact"/>
        <w:jc w:val="center"/>
        <w:rPr>
          <w:rFonts w:hint="eastAsia" w:ascii="方正小标宋简体" w:eastAsia="方正小标宋简体"/>
          <w:color w:val="auto"/>
          <w:spacing w:val="0"/>
          <w:kern w:val="21"/>
          <w:sz w:val="44"/>
          <w:szCs w:val="44"/>
        </w:rPr>
      </w:pPr>
      <w:r>
        <w:rPr>
          <w:rFonts w:hint="eastAsia" w:ascii="方正小标宋简体" w:eastAsia="方正小标宋简体"/>
          <w:color w:val="auto"/>
          <w:spacing w:val="0"/>
          <w:kern w:val="21"/>
          <w:sz w:val="44"/>
          <w:szCs w:val="44"/>
        </w:rPr>
        <w:t>关于印发《广元市市场监督管理局2024年度“双随机、一公开”监管计划》《</w:t>
      </w:r>
      <w:r>
        <w:rPr>
          <w:rFonts w:hint="eastAsia" w:ascii="方正小标宋简体" w:eastAsia="方正小标宋简体"/>
          <w:color w:val="auto"/>
          <w:spacing w:val="0"/>
          <w:kern w:val="21"/>
          <w:sz w:val="44"/>
          <w:szCs w:val="44"/>
          <w:lang w:eastAsia="zh-CN"/>
        </w:rPr>
        <w:t>〈</w:t>
      </w:r>
      <w:r>
        <w:rPr>
          <w:rFonts w:hint="eastAsia" w:ascii="方正小标宋简体" w:eastAsia="方正小标宋简体"/>
          <w:color w:val="auto"/>
          <w:spacing w:val="0"/>
          <w:kern w:val="21"/>
          <w:sz w:val="44"/>
          <w:szCs w:val="44"/>
        </w:rPr>
        <w:t>广元市2024年市场监管领域部门联合“双随机、一公开”监管计划</w:t>
      </w:r>
      <w:r>
        <w:rPr>
          <w:rFonts w:hint="eastAsia" w:ascii="方正小标宋简体" w:eastAsia="方正小标宋简体"/>
          <w:color w:val="auto"/>
          <w:spacing w:val="0"/>
          <w:kern w:val="21"/>
          <w:sz w:val="44"/>
          <w:szCs w:val="44"/>
          <w:lang w:eastAsia="zh-CN"/>
        </w:rPr>
        <w:t>〉</w:t>
      </w:r>
      <w:r>
        <w:rPr>
          <w:rFonts w:hint="eastAsia" w:ascii="方正小标宋简体" w:eastAsia="方正小标宋简体"/>
          <w:color w:val="auto"/>
          <w:spacing w:val="0"/>
          <w:kern w:val="21"/>
          <w:sz w:val="44"/>
          <w:szCs w:val="44"/>
        </w:rPr>
        <w:t>市场监管局分工表》的通知</w:t>
      </w:r>
    </w:p>
    <w:p>
      <w:pPr>
        <w:spacing w:line="576" w:lineRule="exact"/>
        <w:ind w:firstLine="640" w:firstLineChars="200"/>
        <w:rPr>
          <w:rFonts w:hint="eastAsia" w:ascii="仿宋_GB2312" w:eastAsia="仿宋_GB2312" w:cs="仿宋_GB2312"/>
          <w:color w:val="auto"/>
          <w:spacing w:val="0"/>
          <w:kern w:val="21"/>
          <w:sz w:val="32"/>
          <w:szCs w:val="32"/>
          <w:lang w:bidi="ar-SA"/>
        </w:rPr>
      </w:pPr>
    </w:p>
    <w:p>
      <w:pPr>
        <w:spacing w:line="576" w:lineRule="exact"/>
        <w:ind w:firstLine="0"/>
        <w:rPr>
          <w:rFonts w:hint="eastAsia" w:ascii="仿宋_GB2312" w:eastAsia="仿宋_GB2312" w:cs="仿宋_GB2312"/>
          <w:color w:val="auto"/>
          <w:spacing w:val="0"/>
          <w:kern w:val="21"/>
          <w:sz w:val="32"/>
          <w:szCs w:val="32"/>
          <w:lang w:bidi="ar-SA"/>
        </w:rPr>
      </w:pPr>
      <w:r>
        <w:rPr>
          <w:rFonts w:hint="eastAsia" w:ascii="仿宋_GB2312" w:eastAsia="仿宋_GB2312" w:cs="仿宋_GB2312"/>
          <w:color w:val="auto"/>
          <w:spacing w:val="0"/>
          <w:kern w:val="21"/>
          <w:sz w:val="32"/>
          <w:szCs w:val="32"/>
          <w:lang w:bidi="ar-SA"/>
        </w:rPr>
        <w:t>各县</w:t>
      </w:r>
      <w:r>
        <w:rPr>
          <w:rFonts w:hint="eastAsia" w:ascii="仿宋_GB2312" w:eastAsia="仿宋_GB2312" w:cs="仿宋_GB2312"/>
          <w:color w:val="auto"/>
          <w:spacing w:val="0"/>
          <w:kern w:val="21"/>
          <w:sz w:val="32"/>
          <w:szCs w:val="32"/>
          <w:lang w:eastAsia="zh-CN" w:bidi="ar-SA"/>
        </w:rPr>
        <w:t>（</w:t>
      </w:r>
      <w:r>
        <w:rPr>
          <w:rFonts w:hint="eastAsia" w:ascii="仿宋_GB2312" w:eastAsia="仿宋_GB2312" w:cs="仿宋_GB2312"/>
          <w:color w:val="auto"/>
          <w:spacing w:val="0"/>
          <w:kern w:val="21"/>
          <w:sz w:val="32"/>
          <w:szCs w:val="32"/>
          <w:lang w:bidi="ar-SA"/>
        </w:rPr>
        <w:t>区</w:t>
      </w:r>
      <w:r>
        <w:rPr>
          <w:rFonts w:hint="eastAsia" w:ascii="仿宋_GB2312" w:eastAsia="仿宋_GB2312" w:cs="仿宋_GB2312"/>
          <w:color w:val="auto"/>
          <w:spacing w:val="0"/>
          <w:kern w:val="21"/>
          <w:sz w:val="32"/>
          <w:szCs w:val="32"/>
          <w:lang w:eastAsia="zh-CN" w:bidi="ar-SA"/>
        </w:rPr>
        <w:t>）</w:t>
      </w:r>
      <w:r>
        <w:rPr>
          <w:rFonts w:hint="eastAsia" w:ascii="仿宋_GB2312" w:eastAsia="仿宋_GB2312" w:cs="仿宋_GB2312"/>
          <w:color w:val="auto"/>
          <w:spacing w:val="0"/>
          <w:kern w:val="21"/>
          <w:sz w:val="32"/>
          <w:szCs w:val="32"/>
          <w:lang w:bidi="ar-SA"/>
        </w:rPr>
        <w:t>市场监管局、经开区分局，市局相关科室（队）、直属单位：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color w:val="auto"/>
          <w:spacing w:val="0"/>
          <w:kern w:val="21"/>
          <w:sz w:val="32"/>
          <w:szCs w:val="32"/>
          <w:lang w:bidi="ar-SA"/>
        </w:rPr>
      </w:pPr>
      <w:r>
        <w:rPr>
          <w:rFonts w:hint="eastAsia" w:ascii="仿宋_GB2312" w:eastAsia="仿宋_GB2312" w:cs="仿宋_GB2312"/>
          <w:color w:val="auto"/>
          <w:spacing w:val="0"/>
          <w:kern w:val="21"/>
          <w:sz w:val="32"/>
          <w:szCs w:val="32"/>
          <w:lang w:bidi="ar-SA"/>
        </w:rPr>
        <w:t>现将《</w:t>
      </w:r>
      <w:r>
        <w:rPr>
          <w:rFonts w:hint="eastAsia" w:ascii="仿宋_GB2312" w:hAnsi="仿宋_GB2312" w:eastAsia="仿宋_GB2312" w:cs="仿宋_GB2312"/>
          <w:color w:val="auto"/>
          <w:spacing w:val="0"/>
          <w:kern w:val="21"/>
          <w:sz w:val="32"/>
          <w:szCs w:val="32"/>
          <w:lang w:bidi="ar-SA"/>
        </w:rPr>
        <w:t>广元市市场监督管理局</w:t>
      </w:r>
      <w:r>
        <w:rPr>
          <w:rFonts w:hint="eastAsia" w:ascii="仿宋_GB2312" w:eastAsia="仿宋_GB2312" w:cs="仿宋_GB2312"/>
          <w:color w:val="auto"/>
          <w:spacing w:val="0"/>
          <w:kern w:val="21"/>
          <w:sz w:val="32"/>
          <w:szCs w:val="32"/>
          <w:lang w:bidi="ar-SA"/>
        </w:rPr>
        <w:t>2024年度“双随机、一公开”监管计划》</w:t>
      </w:r>
      <w:r>
        <w:rPr>
          <w:rFonts w:hint="eastAsia" w:ascii="仿宋_GB2312" w:hAnsi="仿宋_GB2312" w:eastAsia="仿宋_GB2312" w:cs="仿宋_GB2312"/>
          <w:color w:val="auto"/>
          <w:spacing w:val="0"/>
          <w:kern w:val="21"/>
          <w:sz w:val="32"/>
          <w:szCs w:val="32"/>
          <w:lang w:bidi="ar-SA"/>
        </w:rPr>
        <w:t>《</w:t>
      </w:r>
      <w:r>
        <w:rPr>
          <w:rFonts w:hint="eastAsia" w:ascii="仿宋_GB2312" w:eastAsia="仿宋_GB2312" w:cs="仿宋_GB2312"/>
          <w:color w:val="auto"/>
          <w:spacing w:val="0"/>
          <w:kern w:val="21"/>
          <w:sz w:val="32"/>
          <w:szCs w:val="32"/>
          <w:lang w:eastAsia="zh-CN" w:bidi="ar-SA"/>
        </w:rPr>
        <w:t>〈</w:t>
      </w:r>
      <w:r>
        <w:rPr>
          <w:rFonts w:hint="eastAsia" w:ascii="仿宋_GB2312" w:hAnsi="仿宋_GB2312" w:eastAsia="仿宋_GB2312" w:cs="仿宋_GB2312"/>
          <w:color w:val="auto"/>
          <w:spacing w:val="0"/>
          <w:kern w:val="21"/>
          <w:sz w:val="32"/>
          <w:szCs w:val="32"/>
          <w:lang w:bidi="ar-SA"/>
        </w:rPr>
        <w:t>广元市2024年市场监管领域部门联合“双随机、一公开”监管计划</w:t>
      </w:r>
      <w:r>
        <w:rPr>
          <w:rFonts w:hint="eastAsia" w:ascii="仿宋_GB2312" w:eastAsia="仿宋_GB2312" w:cs="仿宋_GB2312"/>
          <w:color w:val="auto"/>
          <w:spacing w:val="0"/>
          <w:kern w:val="21"/>
          <w:sz w:val="32"/>
          <w:szCs w:val="32"/>
          <w:lang w:eastAsia="zh-CN" w:bidi="ar-SA"/>
        </w:rPr>
        <w:t>〉</w:t>
      </w:r>
      <w:r>
        <w:rPr>
          <w:rFonts w:hint="eastAsia" w:ascii="仿宋_GB2312" w:hAnsi="仿宋_GB2312" w:eastAsia="仿宋_GB2312" w:cs="仿宋_GB2312"/>
          <w:color w:val="auto"/>
          <w:spacing w:val="0"/>
          <w:kern w:val="21"/>
          <w:sz w:val="32"/>
          <w:szCs w:val="32"/>
          <w:lang w:bidi="ar-SA"/>
        </w:rPr>
        <w:t>市场监管局分工表》</w:t>
      </w:r>
      <w:r>
        <w:rPr>
          <w:rFonts w:hint="eastAsia" w:ascii="仿宋_GB2312" w:eastAsia="仿宋_GB2312" w:cs="仿宋_GB2312"/>
          <w:color w:val="auto"/>
          <w:spacing w:val="0"/>
          <w:kern w:val="21"/>
          <w:sz w:val="32"/>
          <w:szCs w:val="32"/>
          <w:lang w:bidi="ar-SA"/>
        </w:rPr>
        <w:t>印发你们，请按照“双随机、一公开”监管工作要求，认真贯彻执行。</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color w:val="auto"/>
          <w:spacing w:val="0"/>
          <w:kern w:val="21"/>
          <w:sz w:val="32"/>
          <w:szCs w:val="32"/>
          <w:lang w:bidi="ar-SA"/>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eastAsia="仿宋_GB2312" w:cs="仿宋_GB2312"/>
          <w:color w:val="auto"/>
          <w:spacing w:val="0"/>
          <w:kern w:val="21"/>
          <w:sz w:val="32"/>
          <w:szCs w:val="32"/>
          <w:lang w:bidi="ar-SA"/>
        </w:rPr>
      </w:pPr>
    </w:p>
    <w:p>
      <w:pPr>
        <w:spacing w:line="576" w:lineRule="exact"/>
        <w:ind w:firstLine="4000" w:firstLineChars="1250"/>
        <w:rPr>
          <w:rFonts w:hint="eastAsia" w:ascii="仿宋_GB2312" w:eastAsia="仿宋_GB2312" w:cs="仿宋_GB2312"/>
          <w:color w:val="auto"/>
          <w:spacing w:val="0"/>
          <w:kern w:val="21"/>
          <w:sz w:val="32"/>
          <w:szCs w:val="32"/>
          <w:lang w:bidi="ar-SA"/>
        </w:rPr>
      </w:pPr>
      <w:r>
        <w:rPr>
          <w:rFonts w:hint="eastAsia" w:ascii="仿宋_GB2312" w:eastAsia="仿宋_GB2312" w:cs="仿宋_GB2312"/>
          <w:color w:val="auto"/>
          <w:spacing w:val="0"/>
          <w:kern w:val="21"/>
          <w:sz w:val="32"/>
          <w:szCs w:val="32"/>
          <w:lang w:bidi="ar-SA"/>
        </w:rPr>
        <w:t>广元市市场监督管理局</w:t>
      </w:r>
      <w:r>
        <w:rPr>
          <w:rFonts w:hint="eastAsia" w:ascii="仿宋_GB2312" w:eastAsia="仿宋_GB2312" w:cs="仿宋_GB2312"/>
          <w:color w:val="auto"/>
          <w:spacing w:val="0"/>
          <w:kern w:val="21"/>
          <w:sz w:val="32"/>
          <w:szCs w:val="32"/>
          <w:lang w:val="en-US" w:eastAsia="zh-CN" w:bidi="ar-SA"/>
        </w:rPr>
        <w:t>办公室</w:t>
      </w:r>
    </w:p>
    <w:p>
      <w:pPr>
        <w:spacing w:line="576" w:lineRule="exact"/>
        <w:ind w:firstLine="4960" w:firstLineChars="1550"/>
        <w:rPr>
          <w:rFonts w:hint="eastAsia" w:ascii="仿宋_GB2312" w:eastAsia="仿宋_GB2312" w:cs="仿宋_GB2312"/>
          <w:color w:val="auto"/>
          <w:spacing w:val="0"/>
          <w:kern w:val="21"/>
          <w:sz w:val="32"/>
          <w:szCs w:val="32"/>
          <w:lang w:bidi="ar-SA"/>
        </w:rPr>
      </w:pPr>
      <w:r>
        <w:rPr>
          <w:rFonts w:hint="eastAsia" w:ascii="仿宋_GB2312" w:eastAsia="仿宋_GB2312" w:cs="仿宋_GB2312"/>
          <w:color w:val="auto"/>
          <w:spacing w:val="0"/>
          <w:kern w:val="21"/>
          <w:sz w:val="32"/>
          <w:szCs w:val="32"/>
          <w:lang w:bidi="ar-SA"/>
        </w:rPr>
        <w:t>2024年2月</w:t>
      </w:r>
      <w:r>
        <w:rPr>
          <w:rFonts w:hint="eastAsia" w:ascii="仿宋_GB2312" w:eastAsia="仿宋_GB2312" w:cs="仿宋_GB2312"/>
          <w:color w:val="auto"/>
          <w:spacing w:val="0"/>
          <w:kern w:val="21"/>
          <w:sz w:val="32"/>
          <w:szCs w:val="32"/>
          <w:lang w:val="en-US" w:eastAsia="zh-CN" w:bidi="ar-SA"/>
        </w:rPr>
        <w:t>28</w:t>
      </w:r>
      <w:r>
        <w:rPr>
          <w:rFonts w:hint="eastAsia" w:ascii="仿宋_GB2312" w:eastAsia="仿宋_GB2312" w:cs="仿宋_GB2312"/>
          <w:color w:val="auto"/>
          <w:spacing w:val="0"/>
          <w:kern w:val="21"/>
          <w:sz w:val="32"/>
          <w:szCs w:val="32"/>
          <w:lang w:bidi="ar-SA"/>
        </w:rPr>
        <w:t>日</w:t>
      </w:r>
    </w:p>
    <w:p>
      <w:pPr>
        <w:spacing w:line="576" w:lineRule="exact"/>
        <w:ind w:firstLine="640" w:firstLineChars="200"/>
        <w:rPr>
          <w:rFonts w:hint="eastAsia" w:ascii="仿宋_GB2312" w:eastAsia="仿宋_GB2312" w:cs="仿宋_GB2312"/>
          <w:color w:val="auto"/>
          <w:spacing w:val="0"/>
          <w:kern w:val="21"/>
          <w:sz w:val="32"/>
          <w:szCs w:val="32"/>
          <w:lang w:bidi="ar-SA"/>
        </w:rPr>
      </w:pPr>
    </w:p>
    <w:p>
      <w:pPr>
        <w:spacing w:line="576" w:lineRule="exact"/>
        <w:ind w:firstLine="640" w:firstLineChars="200"/>
        <w:rPr>
          <w:rFonts w:hint="eastAsia" w:ascii="仿宋_GB2312" w:eastAsia="仿宋_GB2312" w:cs="仿宋_GB2312"/>
          <w:color w:val="auto"/>
          <w:spacing w:val="0"/>
          <w:kern w:val="21"/>
          <w:sz w:val="32"/>
          <w:szCs w:val="32"/>
          <w:lang w:bidi="ar-SA"/>
        </w:rPr>
      </w:pPr>
    </w:p>
    <w:p>
      <w:pPr>
        <w:pStyle w:val="2"/>
        <w:rPr>
          <w:rFonts w:hint="eastAsia"/>
          <w:color w:val="auto"/>
          <w:spacing w:val="0"/>
          <w:kern w:val="21"/>
        </w:rPr>
      </w:pPr>
    </w:p>
    <w:p>
      <w:pPr>
        <w:spacing w:line="540" w:lineRule="exact"/>
        <w:ind w:firstLine="4000" w:firstLineChars="1250"/>
        <w:rPr>
          <w:rFonts w:hint="eastAsia" w:ascii="仿宋_GB2312" w:eastAsia="仿宋_GB2312" w:cs="仿宋_GB2312"/>
          <w:color w:val="auto"/>
          <w:spacing w:val="0"/>
          <w:kern w:val="21"/>
          <w:sz w:val="32"/>
          <w:szCs w:val="32"/>
          <w:lang w:bidi="ar-SA"/>
        </w:rPr>
        <w:sectPr>
          <w:footerReference r:id="rId3" w:type="default"/>
          <w:pgSz w:w="11906" w:h="16838"/>
          <w:pgMar w:top="2098" w:right="1474" w:bottom="1984" w:left="1587" w:header="720" w:footer="1559" w:gutter="0"/>
          <w:cols w:space="720" w:num="1"/>
          <w:docGrid w:type="lines" w:linePitch="312" w:charSpace="0"/>
        </w:sectPr>
      </w:pPr>
    </w:p>
    <w:p>
      <w:pPr>
        <w:jc w:val="center"/>
        <w:rPr>
          <w:rFonts w:hint="eastAsia" w:ascii="方正小标宋简体" w:eastAsia="方正小标宋简体"/>
          <w:color w:val="auto"/>
          <w:spacing w:val="0"/>
          <w:kern w:val="21"/>
          <w:sz w:val="44"/>
          <w:szCs w:val="44"/>
        </w:rPr>
      </w:pPr>
      <w:r>
        <w:rPr>
          <w:rFonts w:hint="eastAsia" w:ascii="方正小标宋简体" w:eastAsia="方正小标宋简体"/>
          <w:color w:val="auto"/>
          <w:spacing w:val="0"/>
          <w:kern w:val="21"/>
          <w:sz w:val="44"/>
          <w:szCs w:val="44"/>
        </w:rPr>
        <w:t>广元市市场监督管理局2024年度“双随机、一公开”监管计划</w:t>
      </w:r>
    </w:p>
    <w:tbl>
      <w:tblPr>
        <w:tblStyle w:val="13"/>
        <w:tblW w:w="5427" w:type="pct"/>
        <w:jc w:val="center"/>
        <w:tblLayout w:type="fixed"/>
        <w:tblCellMar>
          <w:top w:w="0" w:type="dxa"/>
          <w:left w:w="108" w:type="dxa"/>
          <w:bottom w:w="0" w:type="dxa"/>
          <w:right w:w="108" w:type="dxa"/>
        </w:tblCellMar>
      </w:tblPr>
      <w:tblGrid>
        <w:gridCol w:w="524"/>
        <w:gridCol w:w="1918"/>
        <w:gridCol w:w="1670"/>
        <w:gridCol w:w="1560"/>
        <w:gridCol w:w="1130"/>
        <w:gridCol w:w="660"/>
        <w:gridCol w:w="720"/>
        <w:gridCol w:w="890"/>
        <w:gridCol w:w="740"/>
        <w:gridCol w:w="1430"/>
        <w:gridCol w:w="1196"/>
        <w:gridCol w:w="734"/>
        <w:gridCol w:w="918"/>
        <w:gridCol w:w="1297"/>
      </w:tblGrid>
      <w:tr>
        <w:tblPrEx>
          <w:tblCellMar>
            <w:top w:w="0" w:type="dxa"/>
            <w:left w:w="108" w:type="dxa"/>
            <w:bottom w:w="0" w:type="dxa"/>
            <w:right w:w="108" w:type="dxa"/>
          </w:tblCellMar>
        </w:tblPrEx>
        <w:trPr>
          <w:cantSplit/>
          <w:trHeight w:val="340" w:hRule="atLeast"/>
          <w:tblHeader/>
          <w:jc w:val="center"/>
        </w:trPr>
        <w:tc>
          <w:tcPr>
            <w:tcW w:w="52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leftChars="0" w:firstLine="0" w:firstLineChars="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序号</w:t>
            </w:r>
          </w:p>
        </w:tc>
        <w:tc>
          <w:tcPr>
            <w:tcW w:w="1918"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任务名称</w:t>
            </w:r>
          </w:p>
        </w:tc>
        <w:tc>
          <w:tcPr>
            <w:tcW w:w="167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检查对象</w:t>
            </w:r>
          </w:p>
        </w:tc>
        <w:tc>
          <w:tcPr>
            <w:tcW w:w="156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检查事项(内容)</w:t>
            </w:r>
          </w:p>
        </w:tc>
        <w:tc>
          <w:tcPr>
            <w:tcW w:w="113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检查对象</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抽取层级</w:t>
            </w:r>
          </w:p>
        </w:tc>
        <w:tc>
          <w:tcPr>
            <w:tcW w:w="1380"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事项类别</w:t>
            </w:r>
          </w:p>
        </w:tc>
        <w:tc>
          <w:tcPr>
            <w:tcW w:w="89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抽查</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比例</w:t>
            </w:r>
          </w:p>
        </w:tc>
        <w:tc>
          <w:tcPr>
            <w:tcW w:w="74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抽查户数（户）</w:t>
            </w:r>
          </w:p>
        </w:tc>
        <w:tc>
          <w:tcPr>
            <w:tcW w:w="143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关联企业信用风险分类抽查比例分配</w:t>
            </w:r>
          </w:p>
        </w:tc>
        <w:tc>
          <w:tcPr>
            <w:tcW w:w="119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检查时间</w:t>
            </w:r>
          </w:p>
        </w:tc>
        <w:tc>
          <w:tcPr>
            <w:tcW w:w="734" w:type="dxa"/>
            <w:vMerge w:val="restart"/>
            <w:tcBorders>
              <w:top w:val="single" w:color="auto" w:sz="4" w:space="0"/>
              <w:left w:val="nil"/>
              <w:bottom w:val="nil"/>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牵头科室</w:t>
            </w:r>
          </w:p>
        </w:tc>
        <w:tc>
          <w:tcPr>
            <w:tcW w:w="918" w:type="dxa"/>
            <w:vMerge w:val="restart"/>
            <w:tcBorders>
              <w:top w:val="single" w:color="auto" w:sz="4" w:space="0"/>
              <w:left w:val="nil"/>
              <w:bottom w:val="nil"/>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参与科室</w:t>
            </w:r>
          </w:p>
        </w:tc>
        <w:tc>
          <w:tcPr>
            <w:tcW w:w="1297"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备注</w:t>
            </w:r>
          </w:p>
        </w:tc>
      </w:tr>
      <w:tr>
        <w:tblPrEx>
          <w:tblCellMar>
            <w:top w:w="0" w:type="dxa"/>
            <w:left w:w="108" w:type="dxa"/>
            <w:bottom w:w="0" w:type="dxa"/>
            <w:right w:w="108" w:type="dxa"/>
          </w:tblCellMar>
        </w:tblPrEx>
        <w:trPr>
          <w:trHeight w:val="340" w:hRule="atLeast"/>
          <w:tblHeader/>
          <w:jc w:val="center"/>
        </w:trPr>
        <w:tc>
          <w:tcPr>
            <w:tcW w:w="52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105" w:firstLineChars="50"/>
              <w:rPr>
                <w:rFonts w:hint="eastAsia" w:ascii="黑体" w:hAnsi="黑体" w:eastAsia="黑体" w:cs="黑体"/>
                <w:color w:val="auto"/>
                <w:spacing w:val="0"/>
                <w:kern w:val="21"/>
                <w:sz w:val="21"/>
                <w:szCs w:val="21"/>
              </w:rPr>
            </w:pPr>
          </w:p>
        </w:tc>
        <w:tc>
          <w:tcPr>
            <w:tcW w:w="1918"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67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56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13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一般事项</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8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重点事项</w:t>
            </w:r>
          </w:p>
        </w:tc>
        <w:tc>
          <w:tcPr>
            <w:tcW w:w="89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74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43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19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734" w:type="dxa"/>
            <w:vMerge w:val="continue"/>
            <w:tcBorders>
              <w:top w:val="single" w:color="auto" w:sz="4" w:space="0"/>
              <w:left w:val="nil"/>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918" w:type="dxa"/>
            <w:vMerge w:val="continue"/>
            <w:tcBorders>
              <w:top w:val="single" w:color="auto" w:sz="4" w:space="0"/>
              <w:left w:val="nil"/>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c>
          <w:tcPr>
            <w:tcW w:w="1297"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rPr>
                <w:rFonts w:hint="eastAsia" w:ascii="黑体" w:hAnsi="黑体" w:eastAsia="黑体" w:cs="黑体"/>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92"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广元市市场监管2024年度药品零售企业经营许可抽查检查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药品零售经营企业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药品零售经营许可免于现场检查的药品零售企业许可事项，执业药师配备及使用情况</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按照A类0%，B类3%，C类8%，D类10%比例抽取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登记注册科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92"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广元市市场监管2024年度新开办企业抽查检查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新开办企业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登记信息检查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总数不低于5%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按照A类5%，B类10%，CD类20%比例抽取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信用监管科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直属分局、经开区分局</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92"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广元市市场监管2024年度登记事项、公示信息“双随机、一公开”分级分类抽查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企业、个体工商户、农民专业合作社、外国企业常驻代表机构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登记事项、公示信息的检查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总数不低于2%</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按照A类0%，B类1%，C类5%，D类20%比例抽取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信用监管科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直属分局、经开区分局</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92"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广元市市场监管2024年度水电气暖行业工程安装收费行为、供电环节违规收费“双随机、一公开”抽查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全市水电气企业、行政事业性单位</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水电气暖行业工程安装收费行为、执行政府定价情况的检查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企业5%、行政事业性单位10%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line="29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按照A类5%，B类10%，C类15%，D类20%比例抽取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价监科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92"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36"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广元市市场监管2024年度直销企业抽查检查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全市直销企业服务网点、经销商</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是否有固定经营场所，登记住所是否变更；2.销售的直销产品是否明示价格销售；3.有夸大或虚假宣传及欺诈消费者等行为；4.不得发布宣传直销员销售报酬的广告；5.检查是否按照《直销管理条例》规定向消费者、直销员办理产品退换货</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40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按照B类10%比例抽取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竞争科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化妆品科、公平交易大队</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3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tabs>
                <w:tab w:val="clear" w:pos="420"/>
              </w:tabs>
              <w:suppressAutoHyphens/>
              <w:kinsoku/>
              <w:wordWrap/>
              <w:overflowPunct/>
              <w:topLinePunct w:val="0"/>
              <w:autoSpaceDE/>
              <w:autoSpaceDN/>
              <w:bidi w:val="0"/>
              <w:adjustRightInd/>
              <w:snapToGrid/>
              <w:spacing w:after="0" w:line="336"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广元市市场监管2024年度拍卖等重要领域市场规范管理抽查检查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电子商务平台经营者（企业、个体工商户）</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拍卖活动、文物经营活动经营资格的检查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按照A类10%比例抽取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市场网监科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3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tabs>
                <w:tab w:val="clear" w:pos="420"/>
              </w:tabs>
              <w:suppressAutoHyphens/>
              <w:kinsoku/>
              <w:wordWrap/>
              <w:overflowPunct/>
              <w:topLinePunct w:val="0"/>
              <w:autoSpaceDE/>
              <w:autoSpaceDN/>
              <w:bidi w:val="0"/>
              <w:adjustRightInd/>
              <w:snapToGrid/>
              <w:spacing w:after="0" w:line="248"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广元市市场监管2024年度广告行为“双随机、一公开”抽查检查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企业、个体工商户及其它经营单位</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企业自媒体广告发布情况的检查，广告经营者、广告发布者建立、健全广告业务的承接登记、审核、档案管理制度情况的检查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按照A类和B类3%，C类和D类100%比例抽取（实际检查对象比例分配，各单位需结合各等级企业数量情况和实际监管工作统筹考虑）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广告科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tabs>
                <w:tab w:val="clear" w:pos="420"/>
              </w:tabs>
              <w:suppressAutoHyphens/>
              <w:kinsoku/>
              <w:wordWrap/>
              <w:overflowPunct/>
              <w:topLinePunct w:val="0"/>
              <w:autoSpaceDE/>
              <w:autoSpaceDN/>
              <w:bidi w:val="0"/>
              <w:adjustRightInd/>
              <w:snapToGrid/>
              <w:spacing w:after="0" w:line="248"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vMerge w:val="restart"/>
            <w:tcBorders>
              <w:top w:val="nil"/>
              <w:left w:val="nil"/>
              <w:bottom w:val="nil"/>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广元市市场监管2024年度产品质量安全监督抽查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生产企业成品仓库内的待销产品</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生产领域产品质量监督抽查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D类100%</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质量监督科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tabs>
                <w:tab w:val="clear" w:pos="420"/>
              </w:tabs>
              <w:suppressAutoHyphens/>
              <w:kinsoku/>
              <w:wordWrap/>
              <w:overflowPunct/>
              <w:topLinePunct w:val="0"/>
              <w:autoSpaceDE/>
              <w:autoSpaceDN/>
              <w:bidi w:val="0"/>
              <w:adjustRightInd/>
              <w:snapToGrid/>
              <w:spacing w:after="0" w:line="248" w:lineRule="exact"/>
              <w:ind w:left="0" w:leftChars="0" w:firstLine="105" w:firstLineChars="50"/>
              <w:jc w:val="center"/>
              <w:textAlignment w:val="center"/>
              <w:rPr>
                <w:rFonts w:hint="eastAsia" w:ascii="仿宋_GB2312" w:hAnsi="仿宋_GB2312" w:eastAsia="仿宋_GB2312" w:cs="仿宋_GB2312"/>
                <w:color w:val="auto"/>
                <w:spacing w:val="0"/>
                <w:kern w:val="21"/>
                <w:sz w:val="21"/>
                <w:szCs w:val="21"/>
              </w:rPr>
            </w:pPr>
          </w:p>
        </w:tc>
        <w:tc>
          <w:tcPr>
            <w:tcW w:w="1918" w:type="dxa"/>
            <w:vMerge w:val="continue"/>
            <w:tcBorders>
              <w:top w:val="nil"/>
              <w:left w:val="nil"/>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8" w:lineRule="exact"/>
              <w:rPr>
                <w:rFonts w:hint="eastAsia" w:ascii="仿宋_GB2312" w:hAnsi="仿宋_GB2312" w:eastAsia="仿宋_GB2312" w:cs="仿宋_GB2312"/>
                <w:color w:val="auto"/>
                <w:spacing w:val="0"/>
                <w:kern w:val="21"/>
                <w:sz w:val="21"/>
                <w:szCs w:val="21"/>
              </w:rPr>
            </w:pP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工业产品生产许可证产品生产企业检查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D类100%</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质量监督科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48"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广元市市场监管2024年度工业产品生产许可证产品生产企业检查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工业产品生产许可获证企业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工业产品生产许可证获证企业条件检查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所有工业产品生产许可获证企业</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D类100%</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质量监督科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4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48"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工业产品生产许可证后监督检查是对本辖区已取得工业产品生产许可证的企业（以下统称获证企业）所开展的监督检查</w:t>
            </w: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广元市市场监管2024年度工业产品生产许可证产品生产企业检查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工业产品生产许可获证企业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工业产品生产许可证获证企业条件检查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所有食品相关产品生产许可获证企业</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D类100%</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质量监督科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line="26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工业产品生产许可证后监督检查是对本辖区已取得食品相关产品生产许可证的企业（以下统称获证企业）所开展的监督检查</w:t>
            </w: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广元市市场监管2024年度食品生产企业“双随机、一公开”抽查检查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所有获证纳入风险分级企业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1.食品生产监督检查；2.2023年度新获证、换证企业证后监督检查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&gt;5%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A级&gt;3%</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B级&gt;5%</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C级&gt;5%</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D级&gt;7%</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食品生产科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登记注册科</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广元市市场监管2024年度食品销售监督检查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校园及校园周边食品销售者；风险等级为A、B、C、D级的食品销售者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both"/>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对食品销售者（包括：校园、高风险、一般风险、入网食品销售者）经营情况的检查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按照A类和B类20%，C类和D类100%比例抽取（实际检查对象比例分配，各单位需结合各等级企业数量情况和实际监管工作统筹考虑）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广元市市场监管2024年度食品销售监督检查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网络食品交易第三方平台、入网食品销售者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网络食品交易（销售）第三方平台经营情况的检查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16</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按照A类和B类20%，C类和D类100%比例抽取（实际检查对象比例分配，各单位需结合各等级企业数量情况和实际监管工作统筹考虑）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广元市市场监管2024年度餐饮服务食品安全“双随机、一公开”监督检查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餐饮服务经营者（含入网餐饮服务提供者、网络餐饮服务第三方平台）</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许可情况的检查、原料控制（含食品添加剂）情况的检查、加工制作过程的检查、供餐、用餐与配送情况的检查、餐饮具清洗消毒情况的检查、场所和设施清洁维护情况的检查、食品安全管理情况的检查、人员管理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按照A类和B类20%，C类和D类100%比例抽取（实际检查对象比例分配，各单位需结合各等级企业数量情况和实际监管工作统筹考虑）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广元市市场监管2024年度餐饮服务食品安全“双随机、一公开”监督检查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医疗机构、养老机构、机关等集中用餐单位食堂</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许可情况的检查、原料控制（含食品添加剂）情况的检查、加工制作过程的检查、供餐、用餐与配送情况的检查、餐饮具清洗消毒情况的检查、场所和设施清洁维护情况的检查、食品安全管理情况的检查、人员管理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实际检查对象比例分配，各实施单位需结合各等级企业数量情况进行分级分类抽取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6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广元市市场监管2024年度食用农产品市场销售质量安全检查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食用农产品集中交易市场（含批发市场和农贸市场）监督检查</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食用农产品集中交易市场经营情况的监督检查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33</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按照A类和B类20%，C类和D类100%比例抽取（实际检查对象比例分配，各单位需结合各等级企业数量情况和实际监管工作统筹考虑）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60"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广元市市场监管2024年度食用农产品市场销售质量安全检查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食用农产品销售企业（含批发企业和零售企业、其他销售者）监督检查</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食用农产品销售企业（者）经营情况的监督检查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25</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按照A类和B类20%，C类和D类100%比例抽取（实际检查对象比例分配，各单位需结合各等级企业数量情况和实际监管工作统筹考虑）</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食品经营科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广元市市场监管2024年度特殊食品经营企业“双随机、一公开”抽查检查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全市取得食品经营许可证的企业、个体工商户、农民专业合作社等</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保健食品、婴幼儿配方食品、特殊医学用途配方食品销售监督检查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按照D类100%，C类50%，B类、A类5%以下比例抽取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特殊食品科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广元市市场监管2024年度食品安全市场在售食品“双随机、一公开”专项监督检查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市场在售食品</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对2023年被抽检出不合格（问题）食品生产企业、市场在售食品是否符合国家食品安全标准的监督抽检</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15</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A类100%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B类100%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C类100%</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D类100%</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食品抽检科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食品生产科</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both"/>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7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广元市市场监管2024年度特种设备常规监督检查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特种设备生产使用单位</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对特种设备生产使用单位严格落实特种设备相关法律、法规、规章以及安全技术规范的监督检查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重点监督检查单位抽50%，一般监督检查单位抽5%</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特监科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7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广元市市场监管2024年度在用计量器具监督抽查检查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企业、事业单位、个体工商户及其他经营者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在用计量器具</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按照A类5%，B类15%，C类50%，D类100%比例抽取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7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广元市市场监管2024年度法定计量检定机构专项监督检查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法定计量检定机构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计量标准证书、计量标准器、技术人员配备及检定资质等</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7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广元市市场监管2024年度计量单位使用情况专项监督检查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宣传出版、文化教育、市场交易等领域</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是否存在使用非法计量单位等情况的检查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按照A类5%，B类15%，C类50%，D类100%比例抽取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7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广元市市场监管2024年度定量包装商品净含量国家计量监督专项抽查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企业、个体工商户及其他经营者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定量包装商品</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组织：省</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70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按照A类5%，B类15%，C类50%，D类100%比例抽取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按省局年度安排实施</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7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按省局年度安排实施</w:t>
            </w: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广元市市场监管2024年度计量标准专项监督检查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建标企事业单位</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计量标准证书、计量标准器、技术人员配备及检定资质等</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广元市市场监管2024年度型式批准监督检查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企业、事业单位计量器具生产单位</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生产场所、生产设施、检验条件、技术人员等技术条件</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广元市市场监管2024年度能效标识计量专项监督检查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企业、事业单位、个体工商户及其他经营者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能效标识检查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按照A类5%，B类15%，C类50%，D类100%比例抽取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广元市市场监管2024年度水效标识计量专项监督检查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企业、事业单位、个体工商户及其他经营者</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水效标识检查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按照A类5%，B类15%，C类50%，D类100%比例抽取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计量科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广元市市场监管2024年度年企业标准自我声明公开抽查检查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在全国标准信息平台上公示的企业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企业标准自我声明公开</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15%</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按照A类5%，B类10%，C类和D类50%比例抽取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标准化科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质检所</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广元市市场监管2024年度团体标准自我声明公开抽查检查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在全国标准信息平台上公示的社会团体</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团体标准自我声明公开</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由于检查对象不是企业，不结合企业信用分类抽取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标准化科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质检所</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26"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广元市市场监管2024年度有机产品认证有效性抽查检查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自愿性获证机构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获证机构规范性检查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43</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按照A类10%，B类30%，C类和D类100%比例抽取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认检监管科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26"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5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广元市市场监管2024年度强制性产品认证有效性抽查检查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强制性产品获证机构、获证强制性产品</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强制性产品获证有效性抽查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6</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按照A类10%，B类30%，C类和D类100%比例抽取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认检监管科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5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广元市市场监管2024年度有机产品认证有效性抽查检查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有机认证目录内的获证产品</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产品质量有效性检查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54</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按照A类30%，B类100%比例抽取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认检监管科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5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广元市市场监管2024年度检验检测机构监督检查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获证检验检测机构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检验检测机构是否符合资质认定相关要求</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p>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按照A类10%，B类30%，C类和D类100%比例抽取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认检监管科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254"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广元市市场监管2024年度专利代理监督检查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全市登记名称或经营范围包含“知识产权”、“专利”的经营主体（含已备案的专利代理机构）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1.专利代理机构主体资格和执业资质检查;2.专利代理机构设立、变更、注销办事机构情况的检查;3.专利代理机构、专利代理人执业行为检查,4.专利代理机构年度报告和信息公示情况核查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按照B类8%，C类10%，D类2%比例抽取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知识产权科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254"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12"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广元市市场监管2024年度专利产品（商品）监管抽查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全市登记名称或经营范围包含“知识产权”、“专利”的经营主体（含已备案的专利代理机构）</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是否存在无资质擅自开展专利代理行为的检查，以及专利代理机构主体资格和执业资质、专利代理机构设立、变更、注销办事机构情况和专利代理机构及代理师执业行为、专利代理机构年度报告和信息公示的检查</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按照A类22%，C类15%比例抽取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知识产权科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12"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2024年度商标使用行为的检查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企业、个体工商户、农民专业合作社</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市场主体商标使用情况</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按照A类3%，B类5%，C类8%，D类8%比例抽取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12"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2024年度集体商标、证明商标（含地理标志）使用行为的检查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企业、个体工商户、农民专业合作社</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集体商标、证明商标（含地理标志）使用情况</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按照A类3%，B类5%，C类8%，D类8%比例抽取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12"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2024年度商标印制行为的检查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依法登记从事商标印制业务的企业和个体工商户</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商标印制单位商标印制档案及商标标识出入库台账</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bCs/>
                <w:color w:val="auto"/>
                <w:spacing w:val="0"/>
                <w:kern w:val="21"/>
                <w:sz w:val="21"/>
                <w:szCs w:val="21"/>
              </w:rPr>
              <w:t>-</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按照A类3%，B类5%，C类8%，D类8%比例抽取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2024年度商标代理行为的检查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商标代理机构（不含律所）</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商标代理机构经营活动是否违反《商标法》《商标法实施条例》《商标代理监督管理规定》的相关规定。</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bCs/>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8</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按照A类3%，B类5%，C类8%，D类8%比例抽取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p>
        </w:tc>
      </w:tr>
      <w:tr>
        <w:tblPrEx>
          <w:tblCellMar>
            <w:top w:w="0" w:type="dxa"/>
            <w:left w:w="108" w:type="dxa"/>
            <w:bottom w:w="0" w:type="dxa"/>
            <w:right w:w="108" w:type="dxa"/>
          </w:tblCellMar>
        </w:tblPrEx>
        <w:trPr>
          <w:trHeight w:val="340" w:hRule="atLeast"/>
          <w:jc w:val="center"/>
        </w:trPr>
        <w:tc>
          <w:tcPr>
            <w:tcW w:w="5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suppressLineNumbers w:val="0"/>
              <w:suppressAutoHyphens/>
              <w:kinsoku/>
              <w:wordWrap/>
              <w:overflowPunct/>
              <w:topLinePunct w:val="0"/>
              <w:autoSpaceDE/>
              <w:autoSpaceDN/>
              <w:bidi w:val="0"/>
              <w:adjustRightInd/>
              <w:snapToGrid/>
              <w:spacing w:after="0" w:afterAutospacing="0" w:line="300" w:lineRule="exact"/>
              <w:ind w:left="63" w:leftChars="30" w:firstLine="0" w:firstLineChars="0"/>
              <w:jc w:val="center"/>
              <w:textAlignment w:val="center"/>
              <w:rPr>
                <w:rFonts w:hint="eastAsia" w:ascii="仿宋_GB2312" w:hAnsi="仿宋_GB2312" w:eastAsia="仿宋_GB2312" w:cs="仿宋_GB2312"/>
                <w:color w:val="auto"/>
                <w:spacing w:val="0"/>
                <w:kern w:val="21"/>
                <w:sz w:val="21"/>
                <w:szCs w:val="21"/>
              </w:rPr>
            </w:pPr>
          </w:p>
        </w:tc>
        <w:tc>
          <w:tcPr>
            <w:tcW w:w="1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2024年度地理标志专用标志使用行为的检查</w:t>
            </w:r>
          </w:p>
        </w:tc>
        <w:tc>
          <w:tcPr>
            <w:tcW w:w="167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核准使用地理标志专用标志的企业</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地理标志专用标志使用主体和使用情况</w:t>
            </w:r>
          </w:p>
        </w:tc>
        <w:tc>
          <w:tcPr>
            <w:tcW w:w="11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组织：市</w:t>
            </w:r>
            <w:r>
              <w:rPr>
                <w:rFonts w:hint="eastAsia" w:ascii="仿宋_GB2312" w:hAnsi="仿宋_GB2312" w:eastAsia="仿宋_GB2312" w:cs="仿宋_GB2312"/>
                <w:color w:val="auto"/>
                <w:spacing w:val="0"/>
                <w:kern w:val="21"/>
                <w:sz w:val="21"/>
                <w:szCs w:val="21"/>
              </w:rPr>
              <w:br w:type="textWrapping"/>
            </w:r>
            <w:r>
              <w:rPr>
                <w:rFonts w:hint="eastAsia" w:ascii="仿宋_GB2312" w:hAnsi="仿宋_GB2312" w:eastAsia="仿宋_GB2312" w:cs="仿宋_GB2312"/>
                <w:color w:val="auto"/>
                <w:spacing w:val="0"/>
                <w:kern w:val="21"/>
                <w:sz w:val="21"/>
                <w:szCs w:val="21"/>
              </w:rPr>
              <w:t>实施：市、县</w:t>
            </w:r>
          </w:p>
        </w:tc>
        <w:tc>
          <w:tcPr>
            <w:tcW w:w="6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72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p>
        </w:tc>
        <w:tc>
          <w:tcPr>
            <w:tcW w:w="89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bCs/>
                <w:color w:val="auto"/>
                <w:spacing w:val="0"/>
                <w:kern w:val="21"/>
                <w:sz w:val="21"/>
                <w:szCs w:val="21"/>
              </w:rPr>
              <w:t>30%</w:t>
            </w:r>
          </w:p>
        </w:tc>
        <w:tc>
          <w:tcPr>
            <w:tcW w:w="7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35</w:t>
            </w:r>
          </w:p>
        </w:tc>
        <w:tc>
          <w:tcPr>
            <w:tcW w:w="143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按照A类3%，B类5%，C类8%，D类8%比例抽取</w:t>
            </w:r>
          </w:p>
        </w:tc>
        <w:tc>
          <w:tcPr>
            <w:tcW w:w="119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7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商标科</w:t>
            </w:r>
          </w:p>
        </w:tc>
        <w:tc>
          <w:tcPr>
            <w:tcW w:w="9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12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p>
        </w:tc>
      </w:tr>
    </w:tbl>
    <w:p>
      <w:pPr>
        <w:spacing w:line="560" w:lineRule="exact"/>
        <w:rPr>
          <w:rFonts w:hint="eastAsia" w:ascii="方正小标宋简体" w:eastAsia="方正小标宋简体" w:cs="Times New Roman"/>
          <w:color w:val="auto"/>
          <w:spacing w:val="0"/>
          <w:kern w:val="21"/>
          <w:sz w:val="44"/>
          <w:szCs w:val="44"/>
          <w:lang w:bidi="ar-SA"/>
        </w:rPr>
      </w:pPr>
      <w:r>
        <w:rPr>
          <w:rFonts w:hint="eastAsia"/>
          <w:b/>
          <w:bCs/>
          <w:color w:val="auto"/>
          <w:spacing w:val="0"/>
          <w:kern w:val="21"/>
        </w:rPr>
        <w:t>说明：实施层级“县”，含所有县（区）及广元经济技术开发区。</w:t>
      </w:r>
    </w:p>
    <w:p>
      <w:pPr>
        <w:spacing w:line="560" w:lineRule="exact"/>
        <w:jc w:val="center"/>
        <w:rPr>
          <w:rFonts w:hint="eastAsia" w:ascii="方正小标宋简体" w:eastAsia="方正小标宋简体" w:cs="Times New Roman"/>
          <w:color w:val="auto"/>
          <w:spacing w:val="0"/>
          <w:kern w:val="21"/>
          <w:sz w:val="44"/>
          <w:szCs w:val="44"/>
          <w:lang w:bidi="ar-SA"/>
        </w:rPr>
      </w:pPr>
    </w:p>
    <w:p>
      <w:pPr>
        <w:spacing w:line="560" w:lineRule="exact"/>
        <w:jc w:val="center"/>
        <w:rPr>
          <w:rFonts w:hint="eastAsia" w:ascii="方正小标宋简体" w:eastAsia="方正小标宋简体" w:cs="Times New Roman"/>
          <w:color w:val="auto"/>
          <w:spacing w:val="0"/>
          <w:kern w:val="21"/>
          <w:sz w:val="44"/>
          <w:szCs w:val="44"/>
          <w:lang w:bidi="ar-SA"/>
        </w:rPr>
      </w:pPr>
    </w:p>
    <w:p>
      <w:pPr>
        <w:spacing w:line="560" w:lineRule="exact"/>
        <w:jc w:val="center"/>
        <w:rPr>
          <w:rFonts w:hint="eastAsia" w:ascii="方正小标宋简体" w:eastAsia="方正小标宋简体" w:cs="Times New Roman"/>
          <w:color w:val="auto"/>
          <w:spacing w:val="0"/>
          <w:kern w:val="21"/>
          <w:sz w:val="44"/>
          <w:szCs w:val="44"/>
          <w:lang w:bidi="ar-SA"/>
        </w:rPr>
      </w:pPr>
    </w:p>
    <w:p>
      <w:pPr>
        <w:spacing w:line="560" w:lineRule="exact"/>
        <w:jc w:val="center"/>
        <w:rPr>
          <w:rFonts w:hint="eastAsia" w:ascii="方正小标宋简体" w:eastAsia="方正小标宋简体" w:cs="Times New Roman"/>
          <w:color w:val="auto"/>
          <w:spacing w:val="0"/>
          <w:kern w:val="21"/>
          <w:sz w:val="44"/>
          <w:szCs w:val="44"/>
          <w:lang w:bidi="ar-SA"/>
        </w:rPr>
      </w:pPr>
      <w:r>
        <w:rPr>
          <w:rFonts w:hint="eastAsia" w:ascii="方正小标宋简体" w:eastAsia="方正小标宋简体" w:cs="Times New Roman"/>
          <w:color w:val="auto"/>
          <w:spacing w:val="0"/>
          <w:kern w:val="21"/>
          <w:sz w:val="44"/>
          <w:szCs w:val="44"/>
          <w:lang w:bidi="ar-SA"/>
        </w:rPr>
        <w:t>《广元市2024年市场监管领域部门联合“双随机、一公开”监管计划》</w:t>
      </w:r>
    </w:p>
    <w:p>
      <w:pPr>
        <w:pStyle w:val="2"/>
        <w:spacing w:line="570" w:lineRule="exact"/>
        <w:jc w:val="center"/>
        <w:rPr>
          <w:rFonts w:hint="eastAsia" w:ascii="方正小标宋简体" w:eastAsia="方正小标宋简体" w:cs="Times New Roman"/>
          <w:b w:val="0"/>
          <w:color w:val="auto"/>
          <w:spacing w:val="0"/>
          <w:kern w:val="21"/>
          <w:sz w:val="44"/>
          <w:szCs w:val="44"/>
          <w:lang w:bidi="ar-SA"/>
        </w:rPr>
      </w:pPr>
      <w:r>
        <w:rPr>
          <w:rFonts w:hint="eastAsia" w:ascii="方正小标宋简体" w:eastAsia="方正小标宋简体" w:cs="Times New Roman"/>
          <w:b w:val="0"/>
          <w:color w:val="auto"/>
          <w:spacing w:val="0"/>
          <w:kern w:val="21"/>
          <w:sz w:val="44"/>
          <w:szCs w:val="44"/>
          <w:lang w:bidi="ar-SA"/>
        </w:rPr>
        <w:t>市场监管局分工表</w:t>
      </w:r>
    </w:p>
    <w:tbl>
      <w:tblPr>
        <w:tblStyle w:val="13"/>
        <w:tblW w:w="15085"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0" w:type="dxa"/>
          <w:bottom w:w="0" w:type="dxa"/>
          <w:right w:w="0" w:type="dxa"/>
        </w:tblCellMar>
      </w:tblPr>
      <w:tblGrid>
        <w:gridCol w:w="580"/>
        <w:gridCol w:w="1519"/>
        <w:gridCol w:w="1216"/>
        <w:gridCol w:w="709"/>
        <w:gridCol w:w="1096"/>
        <w:gridCol w:w="890"/>
        <w:gridCol w:w="890"/>
        <w:gridCol w:w="968"/>
        <w:gridCol w:w="969"/>
        <w:gridCol w:w="1944"/>
        <w:gridCol w:w="1602"/>
        <w:gridCol w:w="270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tblHeader/>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序号</w:t>
            </w: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任务名称</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对象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抽取</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类型</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抽查比例</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或数量</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检查方式</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实施</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层级</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抽查完成时限</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牵头部门（市场监管局对应科室）</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牵头部门事项</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参与部门（市场监管局对应科室）</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60" w:lineRule="exact"/>
              <w:ind w:left="0"/>
              <w:jc w:val="center"/>
              <w:textAlignment w:val="center"/>
              <w:rPr>
                <w:rFonts w:hint="eastAsia" w:ascii="黑体" w:hAnsi="黑体" w:eastAsia="黑体" w:cs="黑体"/>
                <w:color w:val="auto"/>
                <w:spacing w:val="0"/>
                <w:kern w:val="21"/>
                <w:sz w:val="21"/>
                <w:szCs w:val="21"/>
              </w:rPr>
            </w:pPr>
            <w:r>
              <w:rPr>
                <w:rFonts w:hint="eastAsia" w:ascii="黑体" w:hAnsi="黑体" w:eastAsia="黑体" w:cs="黑体"/>
                <w:color w:val="auto"/>
                <w:spacing w:val="0"/>
                <w:kern w:val="21"/>
                <w:sz w:val="21"/>
                <w:szCs w:val="21"/>
              </w:rPr>
              <w:t>参与部门事项</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0"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广元市2024年成品油市场抽查检查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成品油批发、零售、仓储经营单位</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经济和信息化部门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对成品油企业经营活动情况进行检查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对散装汽油销售的检查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对油气回收治理、危废的检查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应急管理部门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对安全生产的检查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市场监管部门（计量科）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对油品质量、计量的检查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气象部门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对成品油企业落实防雷防静电安全措施情况的检查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0"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广元市2024年盐业市场抽查检查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食盐定点批发企业、食盐零售单位和用盐单位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6家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经济和信息化部门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对食盐经营主体经营状况及非食用盐管理情况的检查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市场监管部门（食品经营科）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对食盐质量的检查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0"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广元市2024年校外培训机构办学资质、办学行为抽查检查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全市校外（面向中小学生）培训机构</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教育部门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对学科类校外培训机构办学行为的检查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科技部门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对科技类校外培训机构办学行为的检查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民政部门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对非营利性校外培训机构是否按照《民办非企业单位登记管理暂行条例》开展活动的检查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对文化艺术类校外培训机构办学行为的检查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市场监管部门（价监科、广告科）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对校外培训机构收退费、广告情况的检查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体育部门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对体育类校外培训机构办学行为的检查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286"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广元市2024年民用枪支经营使用单位抽查检查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民用枪支经营使用单位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现场检查、网络监测、书面检查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1.对民用枪支制造企业经营情况的检查；</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2.对民用枪支配售企业经营情况的检查；</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3.对民用枪支配置使用单位使用枪支情况的检查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市场监管部门（公平交易执法大队）</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对个体、企业经营主体资格照证的检查以及发现经营过程中涉嫌存在违法行为的查处</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286"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广元市2024年公章刻制业抽查检查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纳入联网四川印章系统企业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现场检查、网络监测</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对公章刻制业治安的检查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286" w:lineRule="exact"/>
              <w:ind w:left="525" w:leftChars="5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广元市2024年养老服务机构抽查检查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养老机构</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民政部门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对养老机构的检查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对建筑消防设计审查和验收的监督检查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对特种设备使用单位的监督检查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28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广元市2024年殡葬服务抽查检查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殡葬服务机构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民政部门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Style w:val="19"/>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对社会公共墓地、殡仪馆、殡仪服务站开展行政检查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对殡葬服务收费的监督检查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28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广元市2024年各类用人单位（与劳动者建立劳动关系）工资支付情况抽查检查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各类用人单位（与劳动者建立劳动关系）</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人力资源社会保障部门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Style w:val="19"/>
                <w:rFonts w:hint="eastAsia" w:ascii="仿宋_GB2312" w:hAnsi="仿宋_GB2312" w:eastAsia="仿宋_GB2312" w:cs="仿宋_GB2312"/>
                <w:color w:val="auto"/>
                <w:spacing w:val="0"/>
                <w:kern w:val="21"/>
                <w:sz w:val="21"/>
                <w:szCs w:val="21"/>
              </w:rPr>
              <w:t>对</w:t>
            </w:r>
            <w:r>
              <w:rPr>
                <w:rFonts w:hint="eastAsia" w:ascii="仿宋_GB2312" w:hAnsi="仿宋_GB2312" w:eastAsia="仿宋_GB2312" w:cs="仿宋_GB2312"/>
                <w:color w:val="auto"/>
                <w:spacing w:val="0"/>
                <w:kern w:val="21"/>
                <w:sz w:val="21"/>
                <w:szCs w:val="21"/>
              </w:rPr>
              <w:t>遵守工资支付有关法律法规情况的检查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税务部门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1.对纳税人、扣缴义务人、其他涉税当事人等涉税违法行为的监管；2.对出口商品生产企业的检查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8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广元市2024年劳务派遣用工抽查检查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劳务派遣相关单位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人力资源社会保障部门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textAlignment w:val="center"/>
              <w:rPr>
                <w:rFonts w:hint="eastAsia" w:ascii="仿宋_GB2312" w:hAnsi="仿宋_GB2312" w:eastAsia="仿宋_GB2312" w:cs="仿宋_GB2312"/>
                <w:color w:val="auto"/>
                <w:spacing w:val="0"/>
                <w:kern w:val="21"/>
                <w:sz w:val="21"/>
                <w:szCs w:val="21"/>
              </w:rPr>
            </w:pPr>
            <w:r>
              <w:rPr>
                <w:rStyle w:val="19"/>
                <w:rFonts w:hint="eastAsia" w:ascii="仿宋_GB2312" w:hAnsi="仿宋_GB2312" w:eastAsia="仿宋_GB2312" w:cs="仿宋_GB2312"/>
                <w:color w:val="auto"/>
                <w:spacing w:val="0"/>
                <w:kern w:val="21"/>
                <w:sz w:val="21"/>
                <w:szCs w:val="21"/>
              </w:rPr>
              <w:t>对</w:t>
            </w:r>
            <w:r>
              <w:rPr>
                <w:rFonts w:hint="eastAsia" w:ascii="仿宋_GB2312" w:hAnsi="仿宋_GB2312" w:eastAsia="仿宋_GB2312" w:cs="仿宋_GB2312"/>
                <w:color w:val="auto"/>
                <w:spacing w:val="0"/>
                <w:kern w:val="21"/>
                <w:sz w:val="21"/>
                <w:szCs w:val="21"/>
              </w:rPr>
              <w:t>遵守劳务派遣有关法律法规情况的检查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8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广元市2024年涉消耗臭氧层物质（ODS）的企业和单位抽查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涉消耗臭氧层物质（ODS）的企业和单位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Style w:val="19"/>
                <w:rFonts w:hint="eastAsia" w:ascii="仿宋_GB2312" w:hAnsi="仿宋_GB2312" w:eastAsia="仿宋_GB2312" w:cs="仿宋_GB2312"/>
                <w:color w:val="auto"/>
                <w:spacing w:val="0"/>
                <w:kern w:val="21"/>
                <w:sz w:val="21"/>
                <w:szCs w:val="21"/>
              </w:rPr>
            </w:pPr>
            <w:r>
              <w:rPr>
                <w:rStyle w:val="19"/>
                <w:rFonts w:hint="eastAsia" w:ascii="仿宋_GB2312" w:hAnsi="仿宋_GB2312" w:eastAsia="仿宋_GB2312" w:cs="仿宋_GB2312"/>
                <w:color w:val="auto"/>
                <w:spacing w:val="0"/>
                <w:kern w:val="21"/>
                <w:sz w:val="21"/>
                <w:szCs w:val="21"/>
              </w:rPr>
              <w:t>1.对消耗臭氧层物质的年度生产、使用、进出口配额许可的检查；</w:t>
            </w:r>
          </w:p>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Style w:val="19"/>
                <w:rFonts w:hint="eastAsia" w:ascii="仿宋_GB2312" w:hAnsi="仿宋_GB2312" w:eastAsia="仿宋_GB2312" w:cs="仿宋_GB2312"/>
                <w:color w:val="auto"/>
                <w:spacing w:val="0"/>
                <w:kern w:val="21"/>
                <w:sz w:val="21"/>
                <w:szCs w:val="21"/>
              </w:rPr>
            </w:pPr>
            <w:r>
              <w:rPr>
                <w:rStyle w:val="19"/>
                <w:rFonts w:hint="eastAsia" w:ascii="仿宋_GB2312" w:hAnsi="仿宋_GB2312" w:eastAsia="仿宋_GB2312" w:cs="仿宋_GB2312"/>
                <w:color w:val="auto"/>
                <w:spacing w:val="0"/>
                <w:kern w:val="21"/>
                <w:sz w:val="21"/>
                <w:szCs w:val="21"/>
              </w:rPr>
              <w:t>2.对含消耗臭氧层物质的制冷设备、制冷系统或者灭火系统的维修、报废处理，消耗臭氧层物质回收、再生利用或者销毁等经营活动的单位的检查；</w:t>
            </w:r>
          </w:p>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Style w:val="19"/>
                <w:rFonts w:hint="eastAsia" w:ascii="仿宋_GB2312" w:hAnsi="仿宋_GB2312" w:eastAsia="仿宋_GB2312" w:cs="仿宋_GB2312"/>
                <w:color w:val="auto"/>
                <w:spacing w:val="0"/>
                <w:kern w:val="21"/>
                <w:sz w:val="21"/>
                <w:szCs w:val="21"/>
              </w:rPr>
              <w:t>3.对消耗臭氧层物质销售单位的检查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8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广元市2024年房地产开发企业经营行为抽查检查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房地产开发企业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1.对房地产开发企业经营行为的监督检查；</w:t>
            </w:r>
          </w:p>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2.对未取得《商品房预售许可证》预售商品房、不正当手段取得商品房预售许可等情形的行政检查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市场监管部门（广告科）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对房地产开发企业自媒体广告发布情况的检查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8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广元市2024年房地产经纪机构和房地产经纪人员抽查检查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房地产经纪机构和房地产经纪人员</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对房地产经纪机构和房地产经纪人员的监督检查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8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对经纪机构价格行为的检查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广元市2024年建筑市场抽查检查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房屋建筑和市政基础设施在建工程</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对建筑“两工地”租赁、安装、拆卸、使用建筑起重机械行为的监督检查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对“两工地”起重机械检验机构持续满足许可情况的检查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广元市2024年燃气企业抽查检查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燃气企业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对燃气经营许可证和燃气安全生产经营管理情况的监督检查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对液化石油气瓶充装单位违法违规充装行为、燃气企业公用燃气管道法定检验情况的检查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气象部门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对燃气生产经营场所落实防雷防静电安全措施情况的检查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广元市2024年物业服务企业抽查检查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物业服务企业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抽查AAA、AA级1家，抽查A级9家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对物业服务企业的监督检查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对电梯等特种设备使用安全管理的检查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68"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广元市2024年道路危险货物运输企业抽查检查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道路危险货物运输企业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50%</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现场检查、网络监测</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对道路危险货物运输企业经营活动的检查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1.对剧毒化学品道路运输通行证和危险货物运输车辆线路管理的检查；2.对民爆物品、烟花爆竹、放射性物品运输许可的检查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应急管理部门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对危险化学品生产、储存、使用和经营环节安全生产情况的检查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8"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气象部门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68"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对危化品生产、储存、使用等场所落实防雷防静电安全措施情况的检查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2"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广元市2024年网约车平台公司抽查检查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网约车平台公司</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50%</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现场检查、网络监测</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对网约车平台公司经营活动的检查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对信息安全、数据安全、实名认证等环节网络安全情况的检查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对存在低价倾销、欺诈和对个人在交易条件上实行不合理的差别待遇等违法违规行为的检查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2"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税务部门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对纳税人（扣款义务人）税收缴纳情况的检查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2"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广元市2024年交通运输建设项目的工程实体和原材料质量抽查检查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交通运输建设项目参建单位、产品生产和经销</w:t>
            </w:r>
          </w:p>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现场检查、抽样检查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对交通运输建设项目工程实体及原材料质量的抽查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2"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广元市2024年农药监督抽查检查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农药生产</w:t>
            </w:r>
          </w:p>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经营者</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市级抽查不少于3家，县（区）结合实际确定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对农药的监督检查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2"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广元市2024年肥料监督抽查检查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肥料生产</w:t>
            </w:r>
          </w:p>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经营者</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市级抽查不少于3家，县（区）结合实际确定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对肥料的监督检查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市场监管部门（质量监督科）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2"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1.对肥料登记获证企业的监督检查；2.对化肥生产许可获证企业的监督检查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广元市2024年种子监督抽查检查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种子生产</w:t>
            </w:r>
          </w:p>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经营者</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市级抽查不少于3家，县（区）结合实际确定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对种子的监督检查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广元市2024年农业转基因生物抽查检查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从事农业转基因生产、加工、经营和进口、出口活动的单位和个人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市级抽查不少于1家，县（区）结合实际确定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对农业转基因生物安全管理的监督检查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广元市2024年种畜禽抽查检查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从事种畜禽生产经营的单位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市级抽查不少于2家，县（区）结合实际确定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对种畜禽质量的监督检查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广元市2024年水生野生动物养殖抽查检查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经营利用水生野生动物及其制品的单位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市级抽查不少于2家，县（区）结合实际确定</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对水生野生动物及其制品经营利用活动的监督检查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3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广元市2024年单用途商业预付卡抽查检查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单用途商业预付卡备案发卡企业和售卡企业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2家</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商务部门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对单用途商业预付卡业务活动、内部控制和风险状况的检查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税务部门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3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对纳税人（扣缴义务人）税收缴纳情况的检查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22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广元市2024年报废机动车回收拆解活动抽查检查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报废机动车回收拆解</w:t>
            </w:r>
          </w:p>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3家</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商务部门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按照《报废机动车回收管理办法》及《实施细则》内容要求，根据职能职责进行抽查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经济和信息化</w:t>
            </w:r>
          </w:p>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机动车生产企业向回收拆解企业提供技术的监管；2.配合商务部门对回收拆解企业按国家标准和规定拆卸、收集、储存、运输及回收利用报废新能源车的废旧动力蓄电池或者其他类型储能设备，将车辆识别代码、动力蓄电池编码、型号等信息录入有关平台的监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对报废机动车回收拆解行业治安状况、买卖伪造票证等活动实施监督管理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对报废机动车回收拆解活动的日常监督检查并处理相关违法行为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对机动车维修经营者承修已报废的机动车行为实施监督管理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2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22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依照《报废机动车回收管理办法》和道路交通有关法律法规规定，对生产、销售利用报废机动车“五大总成”和其他零部件拼装的机动车的，经有关主管部门依法处罚后，有营业执照的，吊销营业执照；2.对报废机动车在拆解或者处置过程中可能造成环境污染的电器电子等产品，设计使用列入国家禁止使用名录的有毒有害物质行为的行政处罚。协同商务主管部门查处非法回收拆解报废机动车行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广元市2024年新车销售市场抽查检查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汽车销售经销商（主要是新车4S店）</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商务部门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按照《汽车销售管理办法》内容要求，根据职能职责进行抽查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对在售机动车是否获得有效的强制性产品认证证书，并加贴CCC认证标志，新车交易相关监管的检查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广元市2024年二手车交易市场抽查检查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二手车交易市场和二手车经营主体</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商务部门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按照《二手车流通管理办法》（2017修正）内容要求，根据职能职责进行抽查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按照《二手车流通管理办法》（2017修正）内容要求，根据职能职责进行抽查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广元市2024年娱乐场所抽查检查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电影院及各类娱乐场所</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对娱乐场所取得娱乐经营许可证情况和经营情况的检查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对娱乐场所治安的检查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市场监管部门（公平交易执法大队）</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对个体、企业经营主体资格照、证的检查以及发现经营过程中涉嫌存在违法行为的查处</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消防救援部门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按照《中华人民共和国消防法》《四川省消防条例》要求实施，对娱乐场所在投入使用、营业前消防安全情况的检查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广元市2024年营业性演出经营活动从业单位抽查检查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营业性演出从业单位</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对营业性演出经营活动从业单位取得许可证情况和经营情况的检查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对安全保卫工作的检查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广元市2024年艺术品经营单位抽查检查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艺术品经营单位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对艺术品经营单位备案情况和经营活动的检查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市场监管部门（市场网监科）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对企业经营合法性的检查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广元市2024年旅行社行业与通过网络经营旅行社业务抽查检查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旅行社、通过网络经营旅行社业务的企业及平台</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对旅行社取得许可证情况和经营情况的检查、通过网络经营旅行社业务抽查和发布旅游经营信息网站的抽查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人力资源社会保障部门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对企业遵守劳动保障法律法规的监督检查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对旅行社用车行为的检查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市场监管部门（信用监管科、市场网监科）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对年度报告公示信息的检查、旅游互联网企业及平台履行电子商务经营者主体责任的检查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广元市2024年互联网上网服务营业场所抽查检查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互联网上网服务营业</w:t>
            </w:r>
          </w:p>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场所</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文化广电旅游部门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对互联网上网服务营业场所经营情况的检查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对上网实名制落实情况的检查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105" w:leftChars="50" w:firstLine="0"/>
              <w:jc w:val="center"/>
              <w:textAlignment w:val="auto"/>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广元市2024年涉水产品生产企业抽查检查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涉水产品生产企业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卫生健康部门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对卫生安全情况的检查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对登记信息的检查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105" w:leftChars="50" w:firstLine="0"/>
              <w:jc w:val="center"/>
              <w:textAlignment w:val="auto"/>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广元市2024年工业企业安全生产情况抽查检查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工业企业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应急管理部门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1.企业是否按规定取得相应许可证；2.工业企业的安全生产主体责任、法律法规、规章、制度等落实情况</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对工业企业在用特种设备的监督检查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ind w:left="105" w:leftChars="50" w:firstLine="0"/>
              <w:textAlignment w:val="auto"/>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气象部门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对企业落实防雷防静电安全措施情况的检查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105" w:leftChars="50" w:firstLine="0"/>
              <w:jc w:val="center"/>
              <w:textAlignment w:val="auto"/>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广元市2024年住宅电梯安装、使用管理行为的抽查检查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电梯安装单位、电梯使用单位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市场监管部门（特监科）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对电梯安装、电梯使用管理行为的监督检查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1.对电梯井道施工质量的监督检查；2.对物业单位的监督检查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36" w:lineRule="exact"/>
              <w:ind w:left="105" w:leftChars="50" w:firstLine="0"/>
              <w:jc w:val="center"/>
              <w:textAlignment w:val="auto"/>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广元市2024年学校食品安全监管抽查检查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学校和幼儿园</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40家</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市场监管部门（食品经营科）</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对学校食品安全的监管检查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教育部门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指导、监督学校加强食品安全教育和日常管理，降低食品安全风险，及时消除食品安全隐患，提升营养健康水平</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ind w:left="105" w:leftChars="50" w:firstLine="0"/>
              <w:textAlignment w:val="auto"/>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依法受理、立案侦查涉嫌犯罪的食品安全案件，依法打击学校及周边、网络平台食品安全违法行为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ind w:left="105" w:leftChars="50" w:firstLine="0"/>
              <w:textAlignment w:val="auto"/>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36"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卫生健康部门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1.负责组织学校食品安全风险评估工作；2.开展校园食品安全风险和营养健康监测；3.开展食源性疾病预防和营养健康的知识教育</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36" w:lineRule="exact"/>
              <w:ind w:left="105" w:leftChars="50" w:firstLine="0"/>
              <w:jc w:val="center"/>
              <w:textAlignment w:val="auto"/>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广元市2024年房地产市场抽查检查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房地产从业单位</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对房地产行业定价情况的检查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对房地产经纪机构和房地产经纪人员的监督检查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3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广元市2024年生态环境监测机构抽查检查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生态环境监测机构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对生态环境监测机构的监督检查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对生态环境监测数据质量情况的检查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36"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广元市2024年机动车销售企业抽查检查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机动车销售企业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对机动车获得强制性产品认证情况的检查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商务部门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36" w:lineRule="exact"/>
              <w:ind w:left="0"/>
              <w:jc w:val="left"/>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按照《汽车销售管理办法》对汽车销售企业进行管理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广元市2024年机动车检验机构抽查检查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机动车检验机构</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60%</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对机动车检验机构的监督检查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对机动车检验机构是否严格按照《机动车安全技术检验项目与方法》（GB38900、GB21861）开展机动车安全技术检验行为的检查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对机动车排放检验情况的检查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交通运输部门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对机动车维修检验检测机构是否严格落实“三检合一”政策，严格执行GB38900标准开展道路运输车辆技术等级评定工作的检查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suppressAutoHyphens/>
              <w:kinsoku/>
              <w:wordWrap/>
              <w:overflowPunct/>
              <w:topLinePunct w:val="0"/>
              <w:autoSpaceDE/>
              <w:autoSpaceDN/>
              <w:bidi w:val="0"/>
              <w:adjustRightInd/>
              <w:snapToGrid/>
              <w:spacing w:after="0" w:afterAutospacing="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广元市2024年建筑市场抽查检查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建设领域检测机构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40%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对建设领域检测机构的监督检查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住房城乡建设部门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afterAutospacing="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对建筑工程质量检测机构及其活动的监管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广元市2024年食品农产品检验检测机构抽查检查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食品农产品检验检测机构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市场监管部门（认监科）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对食品农产品检验检测机构的监督检查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农业农村部门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对是否符合《农产品质量安全检测机构考核办法》的检查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广元市2024年年度报告公示信息抽查检查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报送2023年度年报信息企业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按照信用风险分类A类0%，B类1%，C类5%，D类20%比例抽取</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现场检查、网络检查、专业机构核查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1.对登记信息的检查；2.对公示信息的检查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人力资源社会保障部门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对企业遵守劳动保障法律法规的监督检查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广元市2024年干洗行业抽查检查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干洗行业经营者</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按照企业AB类10%，CD类20%比例抽取（抽查总户数不少于2家）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对登记信息的监督检查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对挥发性有机物的检查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广元市2024年广告行业抽查检查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广告行业经营者</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市场监管部门（广告科）</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对广告经营行为的监督检查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生态环境部门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对挥发性有机物的检查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广元市2024年统计执法抽查检查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规模以上工业企业、限额以上批零住餐企业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按上级统计部门部署实施</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按上级统计部门部署实施</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统计部门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对统计调查对象依法设置原始记录、统计台账和依法报数情况的检查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广元市2024年外商投资年度报告抽查检查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外商投资企业或外国投资者</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现场检查、书面检查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经济合作和外事部门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按照《外商投资信息报告办法》要求确定并实施</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税务部门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对外商投资企业或外国投资者是否在进行信息报告时隐瞒真实情况，提供误导性或虚假信息的检查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外汇管理部门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对外汇管理部门年报事项的抽查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广元市2024年医保基金合法使用情况抽查检查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定点医药机构</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10家</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医保部门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对定点医疗机构合法使用医保基金的检查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卫生健康部门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对医疗行为的检查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对医疗服务价格的检查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广元市2024年征信评级执业合规抽查检查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广元市辖区名称或经营范围中含有“征信”的</w:t>
            </w:r>
          </w:p>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100%</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现场与非现场检查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人民银行广元市分行</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对抽查范围内企业执业合规及经营情况的检查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市场监管部门（公平交易执法大队）</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对个体和企业经营主体资格照、证的检查以及发现经营过程中涉嫌存在违法行为的查处</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广元市2024年出口商品生产企业抽查检查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出口商品生产企业</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按上级海关部门部署实施</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按上级海关部门部署实施</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海关部门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对出口商品生产企业的检查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税务部门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对出口商品生产企业的检查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广元市2024年消防产品抽查检查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使用消防产品的市场</w:t>
            </w:r>
          </w:p>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主体</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2家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消防救援部门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按照《中华人民共和国消防法》《四川省消防条例》要求实施</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广元市2024年旅馆业抽查检查</w:t>
            </w:r>
          </w:p>
        </w:tc>
        <w:tc>
          <w:tcPr>
            <w:tcW w:w="121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各类宾馆、</w:t>
            </w:r>
          </w:p>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饭店</w:t>
            </w:r>
          </w:p>
        </w:tc>
        <w:tc>
          <w:tcPr>
            <w:tcW w:w="70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3%</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市、县</w:t>
            </w:r>
          </w:p>
        </w:tc>
        <w:tc>
          <w:tcPr>
            <w:tcW w:w="96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消防救援部门</w:t>
            </w:r>
          </w:p>
        </w:tc>
        <w:tc>
          <w:tcPr>
            <w:tcW w:w="194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按照《中华人民共和国消防法》《四川省消防条例》要求实施</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公安部门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对住宿人员登记情况，治安防范情况的检查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卫生健康部门</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对宾馆、旅店取得卫生许可证、卫生情况的检查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51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21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70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096"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890"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969"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94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_GB2312" w:hAnsi="仿宋_GB2312" w:eastAsia="仿宋_GB2312" w:cs="仿宋_GB2312"/>
                <w:color w:val="auto"/>
                <w:spacing w:val="0"/>
                <w:kern w:val="21"/>
                <w:sz w:val="21"/>
                <w:szCs w:val="21"/>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市场监管部门（信用监管科）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对年度报告公示信息的检查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5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2"/>
              </w:numPr>
              <w:suppressLineNumbers w:val="0"/>
              <w:tabs>
                <w:tab w:val="clear" w:pos="0"/>
              </w:tabs>
              <w:suppressAutoHyphens/>
              <w:kinsoku/>
              <w:wordWrap/>
              <w:overflowPunct/>
              <w:topLinePunct w:val="0"/>
              <w:autoSpaceDE/>
              <w:autoSpaceDN/>
              <w:bidi w:val="0"/>
              <w:adjustRightInd/>
              <w:snapToGrid/>
              <w:spacing w:after="0" w:line="300" w:lineRule="exact"/>
              <w:ind w:left="504" w:leftChars="40" w:hanging="420"/>
              <w:jc w:val="center"/>
              <w:rPr>
                <w:rFonts w:hint="eastAsia" w:ascii="仿宋_GB2312" w:hAnsi="仿宋_GB2312" w:eastAsia="仿宋_GB2312" w:cs="仿宋_GB2312"/>
                <w:color w:val="auto"/>
                <w:spacing w:val="0"/>
                <w:kern w:val="21"/>
                <w:sz w:val="21"/>
                <w:szCs w:val="21"/>
              </w:rPr>
            </w:pPr>
          </w:p>
        </w:tc>
        <w:tc>
          <w:tcPr>
            <w:tcW w:w="15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广元市2024年快递服务标准抽查检查</w:t>
            </w:r>
          </w:p>
        </w:tc>
        <w:tc>
          <w:tcPr>
            <w:tcW w:w="1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经营快递业务的企业</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定向</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5%</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现场检查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w:t>
            </w:r>
          </w:p>
        </w:tc>
        <w:tc>
          <w:tcPr>
            <w:tcW w:w="9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10月31日前</w:t>
            </w:r>
          </w:p>
        </w:tc>
        <w:tc>
          <w:tcPr>
            <w:tcW w:w="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邮政管理部门</w:t>
            </w:r>
          </w:p>
        </w:tc>
        <w:tc>
          <w:tcPr>
            <w:tcW w:w="1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对快递服务标准的检查</w:t>
            </w:r>
          </w:p>
        </w:tc>
        <w:tc>
          <w:tcPr>
            <w:tcW w:w="16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jc w:val="center"/>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市场监管部门（价监科）</w:t>
            </w:r>
          </w:p>
        </w:tc>
        <w:tc>
          <w:tcPr>
            <w:tcW w:w="2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suppressAutoHyphens/>
              <w:kinsoku/>
              <w:wordWrap/>
              <w:overflowPunct/>
              <w:topLinePunct w:val="0"/>
              <w:autoSpaceDE/>
              <w:autoSpaceDN/>
              <w:bidi w:val="0"/>
              <w:adjustRightInd/>
              <w:snapToGrid/>
              <w:spacing w:after="0" w:line="300" w:lineRule="exact"/>
              <w:ind w:left="0"/>
              <w:textAlignment w:val="center"/>
              <w:rPr>
                <w:rFonts w:hint="eastAsia" w:ascii="仿宋_GB2312" w:hAnsi="仿宋_GB2312" w:eastAsia="仿宋_GB2312" w:cs="仿宋_GB2312"/>
                <w:color w:val="auto"/>
                <w:spacing w:val="0"/>
                <w:kern w:val="21"/>
                <w:sz w:val="21"/>
                <w:szCs w:val="21"/>
              </w:rPr>
            </w:pPr>
            <w:r>
              <w:rPr>
                <w:rFonts w:hint="eastAsia" w:ascii="仿宋_GB2312" w:hAnsi="仿宋_GB2312" w:eastAsia="仿宋_GB2312" w:cs="仿宋_GB2312"/>
                <w:color w:val="auto"/>
                <w:spacing w:val="0"/>
                <w:kern w:val="21"/>
                <w:sz w:val="21"/>
                <w:szCs w:val="21"/>
              </w:rPr>
              <w:t>对经营快递业务的企业是否有违反《价格法》《消费者权益保护法》等行为，损害消费者合法权益的检查</w:t>
            </w:r>
          </w:p>
        </w:tc>
      </w:tr>
    </w:tbl>
    <w:p>
      <w:pPr>
        <w:spacing w:line="570" w:lineRule="exact"/>
        <w:rPr>
          <w:rFonts w:hint="eastAsia" w:ascii="Calibri" w:hAnsi="Calibri" w:eastAsia="宋体" w:cs="Times New Roman"/>
          <w:b/>
          <w:bCs/>
          <w:color w:val="auto"/>
          <w:spacing w:val="0"/>
          <w:kern w:val="21"/>
          <w:sz w:val="21"/>
          <w:szCs w:val="24"/>
          <w:lang w:bidi="ar-SA"/>
        </w:rPr>
      </w:pPr>
      <w:r>
        <w:rPr>
          <w:rFonts w:hint="eastAsia" w:ascii="Calibri" w:hAnsi="Calibri" w:eastAsia="宋体" w:cs="Times New Roman"/>
          <w:b/>
          <w:bCs/>
          <w:color w:val="auto"/>
          <w:spacing w:val="0"/>
          <w:kern w:val="21"/>
          <w:sz w:val="21"/>
          <w:szCs w:val="24"/>
          <w:lang w:bidi="ar-SA"/>
        </w:rPr>
        <w:t>说明：实施层级“县”，含所有县（区）及广元经济技术开发区。</w:t>
      </w:r>
    </w:p>
    <w:p>
      <w:pPr>
        <w:pStyle w:val="2"/>
        <w:rPr>
          <w:rFonts w:hint="eastAsia" w:ascii="Calibri" w:hAnsi="Calibri" w:eastAsia="宋体" w:cs="Times New Roman"/>
          <w:b w:val="0"/>
          <w:bCs/>
          <w:color w:val="auto"/>
          <w:spacing w:val="0"/>
          <w:kern w:val="21"/>
          <w:sz w:val="21"/>
          <w:szCs w:val="24"/>
          <w:lang w:bidi="ar-SA"/>
        </w:rPr>
        <w:sectPr>
          <w:pgSz w:w="16838" w:h="11906" w:orient="landscape"/>
          <w:pgMar w:top="1463" w:right="1440" w:bottom="1519" w:left="1440" w:header="720" w:footer="1559" w:gutter="0"/>
          <w:cols w:space="720" w:num="1"/>
          <w:docGrid w:type="lines" w:linePitch="312" w:charSpace="0"/>
        </w:sectPr>
      </w:pPr>
    </w:p>
    <w:p>
      <w:pPr>
        <w:rPr>
          <w:rFonts w:hint="eastAsia"/>
          <w:color w:val="auto"/>
          <w:spacing w:val="0"/>
          <w:kern w:val="21"/>
          <w:sz w:val="32"/>
          <w:szCs w:val="32"/>
        </w:rPr>
      </w:pPr>
    </w:p>
    <w:p>
      <w:pPr>
        <w:rPr>
          <w:rFonts w:hint="default" w:ascii="Times New Roman" w:hAnsi="Times New Roman" w:eastAsia="仿宋_GB2312" w:cs="Times New Roman"/>
          <w:b w:val="0"/>
          <w:bCs/>
          <w:color w:val="auto"/>
          <w:spacing w:val="0"/>
          <w:kern w:val="21"/>
          <w:sz w:val="32"/>
          <w:szCs w:val="32"/>
          <w:lang w:bidi="ar-SA"/>
        </w:rPr>
      </w:pPr>
    </w:p>
    <w:p>
      <w:pPr>
        <w:rPr>
          <w:rFonts w:hint="default" w:ascii="Calibri" w:hAnsi="Calibri" w:eastAsia="宋体" w:cs="Times New Roman"/>
          <w:b w:val="0"/>
          <w:bCs/>
          <w:color w:val="auto"/>
          <w:spacing w:val="0"/>
          <w:kern w:val="21"/>
          <w:sz w:val="32"/>
          <w:szCs w:val="32"/>
          <w:lang w:bidi="ar-SA"/>
        </w:rPr>
      </w:pPr>
    </w:p>
    <w:p>
      <w:pPr>
        <w:rPr>
          <w:rFonts w:hint="default" w:ascii="Calibri" w:hAnsi="Calibri" w:eastAsia="宋体" w:cs="Times New Roman"/>
          <w:b/>
          <w:bCs/>
          <w:color w:val="auto"/>
          <w:spacing w:val="0"/>
          <w:kern w:val="21"/>
          <w:sz w:val="32"/>
          <w:szCs w:val="32"/>
          <w:lang w:bidi="ar-SA"/>
        </w:rPr>
      </w:pPr>
    </w:p>
    <w:p>
      <w:pPr>
        <w:rPr>
          <w:rFonts w:hint="eastAsia"/>
          <w:color w:val="auto"/>
          <w:spacing w:val="0"/>
          <w:kern w:val="21"/>
          <w:sz w:val="32"/>
          <w:szCs w:val="32"/>
        </w:rPr>
      </w:pPr>
    </w:p>
    <w:p>
      <w:pPr>
        <w:rPr>
          <w:rFonts w:hint="default" w:ascii="Times New Roman" w:hAnsi="Times New Roman" w:eastAsia="仿宋_GB2312" w:cs="Times New Roman"/>
          <w:color w:val="auto"/>
          <w:spacing w:val="0"/>
          <w:kern w:val="21"/>
          <w:sz w:val="32"/>
          <w:szCs w:val="32"/>
          <w:lang w:bidi="ar-SA"/>
        </w:rPr>
      </w:pPr>
    </w:p>
    <w:p>
      <w:pPr>
        <w:rPr>
          <w:rFonts w:hint="default" w:ascii="Calibri" w:hAnsi="Calibri" w:eastAsia="宋体" w:cs="Times New Roman"/>
          <w:color w:val="auto"/>
          <w:spacing w:val="0"/>
          <w:kern w:val="21"/>
          <w:sz w:val="32"/>
          <w:szCs w:val="32"/>
          <w:lang w:bidi="ar-SA"/>
        </w:rPr>
      </w:pPr>
    </w:p>
    <w:p>
      <w:pPr>
        <w:rPr>
          <w:rFonts w:hint="default" w:ascii="Calibri" w:hAnsi="Calibri" w:eastAsia="宋体" w:cs="Times New Roman"/>
          <w:b/>
          <w:color w:val="auto"/>
          <w:spacing w:val="0"/>
          <w:kern w:val="21"/>
          <w:sz w:val="32"/>
          <w:szCs w:val="32"/>
          <w:lang w:bidi="ar-SA"/>
        </w:rPr>
      </w:pPr>
    </w:p>
    <w:p>
      <w:pPr>
        <w:rPr>
          <w:rFonts w:hint="default" w:ascii="Times New Roman" w:hAnsi="Times New Roman" w:eastAsia="仿宋_GB2312" w:cs="Times New Roman"/>
          <w:color w:val="auto"/>
          <w:spacing w:val="0"/>
          <w:kern w:val="21"/>
          <w:sz w:val="32"/>
          <w:szCs w:val="32"/>
          <w:lang w:bidi="ar-SA"/>
        </w:rPr>
      </w:pPr>
    </w:p>
    <w:p>
      <w:pPr>
        <w:rPr>
          <w:rFonts w:hint="default" w:ascii="Calibri" w:hAnsi="Calibri" w:eastAsia="宋体" w:cs="Times New Roman"/>
          <w:color w:val="auto"/>
          <w:spacing w:val="0"/>
          <w:kern w:val="21"/>
          <w:sz w:val="32"/>
          <w:szCs w:val="32"/>
          <w:lang w:bidi="ar-SA"/>
        </w:rPr>
      </w:pPr>
    </w:p>
    <w:p>
      <w:pPr>
        <w:rPr>
          <w:rFonts w:hint="default" w:ascii="Calibri" w:hAnsi="Calibri" w:eastAsia="宋体" w:cs="Times New Roman"/>
          <w:b/>
          <w:color w:val="auto"/>
          <w:spacing w:val="0"/>
          <w:kern w:val="21"/>
          <w:sz w:val="32"/>
          <w:szCs w:val="32"/>
          <w:lang w:bidi="ar-SA"/>
        </w:rPr>
      </w:pPr>
    </w:p>
    <w:p>
      <w:pPr>
        <w:rPr>
          <w:rFonts w:hint="default" w:ascii="Times New Roman" w:hAnsi="Times New Roman" w:eastAsia="仿宋_GB2312" w:cs="Times New Roman"/>
          <w:color w:val="auto"/>
          <w:spacing w:val="0"/>
          <w:kern w:val="21"/>
          <w:sz w:val="32"/>
          <w:szCs w:val="32"/>
          <w:lang w:bidi="ar-SA"/>
        </w:rPr>
      </w:pPr>
    </w:p>
    <w:p>
      <w:pPr>
        <w:rPr>
          <w:rFonts w:hint="default" w:ascii="Calibri" w:hAnsi="Calibri" w:eastAsia="宋体" w:cs="Times New Roman"/>
          <w:color w:val="auto"/>
          <w:spacing w:val="0"/>
          <w:kern w:val="21"/>
          <w:sz w:val="32"/>
          <w:szCs w:val="32"/>
          <w:lang w:bidi="ar-SA"/>
        </w:rPr>
      </w:pPr>
    </w:p>
    <w:p>
      <w:pPr>
        <w:rPr>
          <w:rFonts w:hint="eastAsia"/>
          <w:color w:val="auto"/>
          <w:spacing w:val="0"/>
          <w:kern w:val="21"/>
          <w:sz w:val="32"/>
          <w:szCs w:val="32"/>
        </w:rPr>
      </w:pPr>
    </w:p>
    <w:p>
      <w:pPr>
        <w:rPr>
          <w:rFonts w:hint="default" w:ascii="Times New Roman" w:hAnsi="Times New Roman" w:eastAsia="仿宋_GB2312" w:cs="Times New Roman"/>
          <w:b w:val="0"/>
          <w:bCs/>
          <w:color w:val="auto"/>
          <w:spacing w:val="0"/>
          <w:kern w:val="21"/>
          <w:sz w:val="32"/>
          <w:szCs w:val="32"/>
          <w:lang w:bidi="ar-SA"/>
        </w:rPr>
      </w:pPr>
    </w:p>
    <w:p>
      <w:pPr>
        <w:rPr>
          <w:rFonts w:hint="default" w:ascii="Calibri" w:hAnsi="Calibri" w:eastAsia="宋体" w:cs="Times New Roman"/>
          <w:b w:val="0"/>
          <w:bCs/>
          <w:color w:val="auto"/>
          <w:spacing w:val="0"/>
          <w:kern w:val="21"/>
          <w:sz w:val="32"/>
          <w:szCs w:val="32"/>
          <w:lang w:bidi="ar-SA"/>
        </w:rPr>
      </w:pPr>
    </w:p>
    <w:p>
      <w:pPr>
        <w:rPr>
          <w:rFonts w:hint="default" w:ascii="Calibri" w:hAnsi="Calibri" w:eastAsia="宋体" w:cs="Times New Roman"/>
          <w:b/>
          <w:color w:val="auto"/>
          <w:spacing w:val="0"/>
          <w:kern w:val="21"/>
          <w:sz w:val="32"/>
          <w:szCs w:val="32"/>
          <w:lang w:bidi="ar-SA"/>
        </w:rPr>
      </w:pPr>
    </w:p>
    <w:p>
      <w:pPr>
        <w:pStyle w:val="2"/>
        <w:rPr>
          <w:rFonts w:hint="default" w:ascii="Calibri" w:hAnsi="Calibri" w:eastAsia="宋体" w:cs="Times New Roman"/>
          <w:b/>
          <w:bCs/>
          <w:color w:val="auto"/>
          <w:spacing w:val="0"/>
          <w:kern w:val="21"/>
          <w:sz w:val="28"/>
          <w:szCs w:val="21"/>
          <w:lang w:bidi="ar-SA"/>
        </w:rPr>
      </w:pPr>
    </w:p>
    <w:p>
      <w:pPr>
        <w:spacing w:line="300" w:lineRule="exact"/>
        <w:rPr>
          <w:rFonts w:hint="default" w:ascii="Times New Roman" w:hAnsi="Times New Roman" w:eastAsia="仿宋_GB2312" w:cs="Times New Roman"/>
          <w:b w:val="0"/>
          <w:bCs/>
          <w:color w:val="auto"/>
          <w:spacing w:val="0"/>
          <w:kern w:val="21"/>
          <w:sz w:val="32"/>
          <w:szCs w:val="32"/>
          <w:lang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outlineLvl w:val="9"/>
        <w:rPr>
          <w:rFonts w:hint="eastAsia" w:ascii="黑体" w:eastAsia="黑体" w:cs="Times New Roman"/>
          <w:snapToGrid/>
          <w:color w:val="auto"/>
          <w:spacing w:val="0"/>
          <w:w w:val="100"/>
          <w:kern w:val="21"/>
          <w:position w:val="0"/>
          <w:sz w:val="28"/>
          <w:szCs w:val="28"/>
          <w:u w:val="none" w:color="auto"/>
          <w:vertAlign w:val="baseline"/>
          <w:lang w:eastAsia="zh-CN" w:bidi="ar-SA"/>
        </w:rPr>
      </w:pPr>
      <w:r>
        <w:rPr>
          <w:rFonts w:hint="eastAsia" w:ascii="黑体" w:eastAsia="黑体" w:cs="Times New Roman"/>
          <w:snapToGrid/>
          <w:color w:val="auto"/>
          <w:spacing w:val="0"/>
          <w:w w:val="100"/>
          <w:kern w:val="21"/>
          <w:position w:val="0"/>
          <w:sz w:val="28"/>
          <w:szCs w:val="28"/>
          <w:u w:val="none" w:color="auto"/>
          <w:vertAlign w:val="baseline"/>
          <w:lang w:eastAsia="zh-CN" w:bidi="ar-SA"/>
        </w:rPr>
        <w:t>信息公开选项：</w:t>
      </w:r>
      <w:r>
        <w:rPr>
          <w:rFonts w:hint="eastAsia" w:ascii="黑体" w:eastAsia="黑体" w:cs="Times New Roman"/>
          <w:snapToGrid/>
          <w:color w:val="auto"/>
          <w:spacing w:val="0"/>
          <w:w w:val="100"/>
          <w:kern w:val="21"/>
          <w:position w:val="0"/>
          <w:sz w:val="28"/>
          <w:szCs w:val="28"/>
          <w:u w:val="none" w:color="auto"/>
          <w:vertAlign w:val="baseline"/>
          <w:lang w:val="en-US" w:eastAsia="zh-CN" w:bidi="ar-SA"/>
        </w:rPr>
        <w:t>依申请</w:t>
      </w:r>
      <w:r>
        <w:rPr>
          <w:rFonts w:hint="eastAsia" w:ascii="黑体" w:eastAsia="黑体" w:cs="Times New Roman"/>
          <w:snapToGrid/>
          <w:color w:val="auto"/>
          <w:spacing w:val="0"/>
          <w:w w:val="100"/>
          <w:kern w:val="21"/>
          <w:position w:val="0"/>
          <w:sz w:val="28"/>
          <w:szCs w:val="28"/>
          <w:u w:val="none" w:color="auto"/>
          <w:vertAlign w:val="baseline"/>
          <w:lang w:eastAsia="zh-CN" w:bidi="ar-SA"/>
        </w:rPr>
        <w:t>公开</w:t>
      </w:r>
    </w:p>
    <w:p>
      <w:pPr>
        <w:widowControl/>
        <w:pBdr>
          <w:top w:val="single" w:color="auto" w:sz="4" w:space="1"/>
          <w:left w:val="none" w:color="auto" w:sz="0" w:space="0"/>
          <w:bottom w:val="single" w:color="auto" w:sz="4" w:space="1"/>
          <w:right w:val="none" w:color="auto" w:sz="0" w:space="0"/>
        </w:pBdr>
        <w:tabs>
          <w:tab w:val="center" w:pos="4153"/>
        </w:tabs>
        <w:suppressAutoHyphens w:val="0"/>
        <w:spacing w:line="500" w:lineRule="exact"/>
        <w:ind w:firstLine="280" w:firstLineChars="100"/>
        <w:jc w:val="left"/>
        <w:outlineLvl w:val="9"/>
        <w:rPr>
          <w:rFonts w:hint="eastAsia"/>
          <w:color w:val="auto"/>
          <w:spacing w:val="0"/>
          <w:kern w:val="21"/>
          <w:sz w:val="32"/>
          <w:szCs w:val="32"/>
        </w:rPr>
      </w:pPr>
      <w:r>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t xml:space="preserve">广元市市场监督管理局办公室     </w:t>
      </w:r>
      <w:r>
        <w:rPr>
          <w:rFonts w:hint="eastAsia" w:ascii="仿宋_GB2312" w:eastAsia="仿宋_GB2312" w:cs="Times New Roman"/>
          <w:snapToGrid/>
          <w:color w:val="auto"/>
          <w:spacing w:val="0"/>
          <w:w w:val="100"/>
          <w:kern w:val="21"/>
          <w:position w:val="0"/>
          <w:sz w:val="28"/>
          <w:szCs w:val="28"/>
          <w:u w:val="none" w:color="auto"/>
          <w:vertAlign w:val="baseline"/>
          <w:lang w:val="en-US" w:eastAsia="zh-CN" w:bidi="ar-SA"/>
        </w:rPr>
        <w:t xml:space="preserve">   </w:t>
      </w:r>
      <w:r>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t xml:space="preserve">       202</w:t>
      </w:r>
      <w:r>
        <w:rPr>
          <w:rFonts w:hint="eastAsia" w:ascii="仿宋_GB2312" w:eastAsia="仿宋_GB2312" w:cs="Times New Roman"/>
          <w:snapToGrid/>
          <w:color w:val="auto"/>
          <w:spacing w:val="0"/>
          <w:w w:val="100"/>
          <w:kern w:val="21"/>
          <w:position w:val="0"/>
          <w:sz w:val="28"/>
          <w:szCs w:val="28"/>
          <w:u w:val="none" w:color="auto"/>
          <w:vertAlign w:val="baseline"/>
          <w:lang w:val="en-US" w:eastAsia="zh-CN" w:bidi="ar-SA"/>
        </w:rPr>
        <w:t>4</w:t>
      </w:r>
      <w:r>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t>年</w:t>
      </w:r>
      <w:r>
        <w:rPr>
          <w:rFonts w:hint="eastAsia" w:ascii="仿宋_GB2312" w:eastAsia="仿宋_GB2312" w:cs="Times New Roman"/>
          <w:snapToGrid/>
          <w:color w:val="auto"/>
          <w:spacing w:val="0"/>
          <w:w w:val="100"/>
          <w:kern w:val="21"/>
          <w:position w:val="0"/>
          <w:sz w:val="28"/>
          <w:szCs w:val="28"/>
          <w:u w:val="none" w:color="auto"/>
          <w:vertAlign w:val="baseline"/>
          <w:lang w:val="en-US" w:eastAsia="zh-CN" w:bidi="ar-SA"/>
        </w:rPr>
        <w:t>2</w:t>
      </w:r>
      <w:r>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t>月</w:t>
      </w:r>
      <w:r>
        <w:rPr>
          <w:rFonts w:hint="eastAsia" w:ascii="仿宋_GB2312" w:eastAsia="仿宋_GB2312" w:cs="Times New Roman"/>
          <w:snapToGrid/>
          <w:color w:val="auto"/>
          <w:spacing w:val="0"/>
          <w:w w:val="100"/>
          <w:kern w:val="21"/>
          <w:position w:val="0"/>
          <w:sz w:val="28"/>
          <w:szCs w:val="28"/>
          <w:u w:val="none" w:color="auto"/>
          <w:vertAlign w:val="baseline"/>
          <w:lang w:val="en-US" w:eastAsia="zh-CN" w:bidi="ar-SA"/>
        </w:rPr>
        <w:t>28</w:t>
      </w:r>
      <w:r>
        <w:rPr>
          <w:rFonts w:hint="eastAsia" w:ascii="仿宋_GB2312" w:eastAsia="仿宋_GB2312" w:cs="Times New Roman"/>
          <w:snapToGrid/>
          <w:color w:val="auto"/>
          <w:spacing w:val="0"/>
          <w:w w:val="100"/>
          <w:kern w:val="21"/>
          <w:position w:val="0"/>
          <w:sz w:val="28"/>
          <w:szCs w:val="28"/>
          <w:u w:val="none" w:color="auto"/>
          <w:vertAlign w:val="baseline"/>
          <w:lang w:eastAsia="zh-CN" w:bidi="ar-SA"/>
        </w:rPr>
        <w:t>日印发</w:t>
      </w:r>
    </w:p>
    <w:sectPr>
      <w:pgSz w:w="11906" w:h="16838"/>
      <w:pgMar w:top="2098" w:right="1474" w:bottom="1984" w:left="1587" w:header="720" w:footer="155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Luxi Sans">
    <w:altName w:val="宋体"/>
    <w:panose1 w:val="00000000000000000000"/>
    <w:charset w:val="00"/>
    <w:family w:val="auto"/>
    <w:pitch w:val="default"/>
    <w:sig w:usb0="00000000" w:usb1="00000000" w:usb2="00000000" w:usb3="00000000" w:csb0="00040001" w:csb1="00000000"/>
  </w:font>
  <w:font w:name="黑体">
    <w:altName w:val="方正黑体_GBK"/>
    <w:panose1 w:val="02010609060101010101"/>
    <w:charset w:val="00"/>
    <w:family w:val="auto"/>
    <w:pitch w:val="default"/>
    <w:sig w:usb0="800002BF" w:usb1="38CF7CFA" w:usb2="00000016" w:usb3="00000000" w:csb0="00040001" w:csb1="00000000"/>
  </w:font>
  <w:font w:name="方正黑体_GBK">
    <w:panose1 w:val="02000000000000000000"/>
    <w:charset w:val="86"/>
    <w:family w:val="auto"/>
    <w:pitch w:val="default"/>
    <w:sig w:usb0="A00002BF" w:usb1="38CF7CFA" w:usb2="00082016" w:usb3="00000000" w:csb0="00040001" w:csb1="00000000"/>
  </w:font>
  <w:font w:name="仿宋_GB2312">
    <w:altName w:val="宋体"/>
    <w:panose1 w:val="02010609030101010101"/>
    <w:charset w:val="00"/>
    <w:family w:val="modern"/>
    <w:pitch w:val="default"/>
    <w:sig w:usb0="00000001" w:usb1="080E0000" w:usb2="00000000" w:usb3="00000000" w:csb0="00040000" w:csb1="00000000"/>
  </w:font>
  <w:font w:name="方正仿宋简体">
    <w:altName w:val="方正仿宋_GBK"/>
    <w:panose1 w:val="02010601030101010101"/>
    <w:charset w:val="00"/>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Liberation Sans">
    <w:altName w:val="宋体"/>
    <w:panose1 w:val="00000000000000000000"/>
    <w:charset w:val="00"/>
    <w:family w:val="swiss"/>
    <w:pitch w:val="default"/>
    <w:sig w:usb0="00000000" w:usb1="00000000" w:usb2="00000000" w:usb3="00000000" w:csb0="00040001" w:csb1="00000000"/>
  </w:font>
  <w:font w:name="Noto Sans CJK SC Regular">
    <w:panose1 w:val="020B05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11200"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1200" cy="230505"/>
                      </a:xfrm>
                      <a:prstGeom prst="rect">
                        <a:avLst/>
                      </a:prstGeom>
                      <a:noFill/>
                      <a:ln>
                        <a:noFill/>
                      </a:ln>
                    </wps:spPr>
                    <wps:txbx>
                      <w:txbxContent>
                        <w:p>
                          <w:pPr>
                            <w:pStyle w:val="10"/>
                            <w:rPr>
                              <w:rFonts w:hint="eastAsia" w:ascii="宋体" w:cs="宋体"/>
                              <w:sz w:val="28"/>
                              <w:szCs w:val="28"/>
                              <w:lang w:bidi="ar-SA"/>
                            </w:rPr>
                          </w:pPr>
                          <w:r>
                            <w:rPr>
                              <w:rFonts w:hint="eastAsia" w:ascii="宋体" w:cs="宋体"/>
                              <w:sz w:val="28"/>
                              <w:szCs w:val="28"/>
                              <w:lang w:bidi="ar-SA"/>
                            </w:rPr>
                            <w:t xml:space="preserve">— </w:t>
                          </w:r>
                          <w:r>
                            <w:rPr>
                              <w:rFonts w:hint="eastAsia" w:ascii="宋体" w:cs="宋体"/>
                              <w:sz w:val="28"/>
                              <w:szCs w:val="28"/>
                              <w:lang w:bidi="ar-SA"/>
                            </w:rPr>
                            <w:fldChar w:fldCharType="begin"/>
                          </w:r>
                          <w:r>
                            <w:rPr>
                              <w:rFonts w:hint="eastAsia" w:ascii="宋体" w:cs="宋体"/>
                              <w:sz w:val="28"/>
                              <w:szCs w:val="28"/>
                              <w:lang w:bidi="ar-SA"/>
                            </w:rPr>
                            <w:instrText xml:space="preserve"> PAGE  \* MERGEFORMAT </w:instrText>
                          </w:r>
                          <w:r>
                            <w:rPr>
                              <w:rFonts w:hint="eastAsia" w:ascii="宋体" w:cs="宋体"/>
                              <w:sz w:val="28"/>
                              <w:szCs w:val="28"/>
                              <w:lang w:bidi="ar-SA"/>
                            </w:rPr>
                            <w:fldChar w:fldCharType="separate"/>
                          </w:r>
                          <w:r>
                            <w:rPr>
                              <w:rFonts w:hint="eastAsia" w:ascii="宋体" w:cs="宋体"/>
                              <w:sz w:val="28"/>
                              <w:szCs w:val="28"/>
                              <w:lang w:bidi="ar-SA"/>
                            </w:rPr>
                            <w:t>1</w:t>
                          </w:r>
                          <w:r>
                            <w:rPr>
                              <w:rFonts w:hint="eastAsia" w:ascii="宋体" w:cs="宋体"/>
                              <w:sz w:val="28"/>
                              <w:szCs w:val="28"/>
                              <w:lang w:bidi="ar-SA"/>
                            </w:rPr>
                            <w:fldChar w:fldCharType="end"/>
                          </w:r>
                          <w:r>
                            <w:rPr>
                              <w:rFonts w:hint="eastAsia" w:ascii="宋体" w:cs="宋体"/>
                              <w:sz w:val="28"/>
                              <w:szCs w:val="28"/>
                              <w:lang w:bidi="ar-SA"/>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56pt;mso-position-horizontal:outside;mso-position-horizontal-relative:margin;mso-wrap-style:none;z-index:251659264;mso-width-relative:page;mso-height-relative:page;" filled="f" stroked="f" coordsize="21600,21600" o:gfxdata="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DhKo1zRAAAABAEAAA8AAAAA&#10;AAAAAQAgAAAAOAAAAGRycy9kb3ducmV2LnhtbFBLAQIUABQAAAAIAIdO4kBkcEmUzAEAAJcDAAAO&#10;AAAAAAAAAAEAIAAAADYBAABkcnMvZTJvRG9jLnhtbFBLBQYAAAAABgAGAFkBAAB0BQAAAAA=&#10;">
              <v:fill on="f" focussize="0,0"/>
              <v:stroke on="f"/>
              <v:imagedata o:title=""/>
              <o:lock v:ext="edit" aspectratio="f"/>
              <v:textbox inset="0mm,0mm,0mm,0mm" style="mso-fit-shape-to-text:t;">
                <w:txbxContent>
                  <w:p>
                    <w:pPr>
                      <w:pStyle w:val="10"/>
                      <w:rPr>
                        <w:rFonts w:hint="eastAsia" w:ascii="宋体" w:cs="宋体"/>
                        <w:sz w:val="28"/>
                        <w:szCs w:val="28"/>
                        <w:lang w:bidi="ar-SA"/>
                      </w:rPr>
                    </w:pPr>
                    <w:r>
                      <w:rPr>
                        <w:rFonts w:hint="eastAsia" w:ascii="宋体" w:cs="宋体"/>
                        <w:sz w:val="28"/>
                        <w:szCs w:val="28"/>
                        <w:lang w:bidi="ar-SA"/>
                      </w:rPr>
                      <w:t xml:space="preserve">— </w:t>
                    </w:r>
                    <w:r>
                      <w:rPr>
                        <w:rFonts w:hint="eastAsia" w:ascii="宋体" w:cs="宋体"/>
                        <w:sz w:val="28"/>
                        <w:szCs w:val="28"/>
                        <w:lang w:bidi="ar-SA"/>
                      </w:rPr>
                      <w:fldChar w:fldCharType="begin"/>
                    </w:r>
                    <w:r>
                      <w:rPr>
                        <w:rFonts w:hint="eastAsia" w:ascii="宋体" w:cs="宋体"/>
                        <w:sz w:val="28"/>
                        <w:szCs w:val="28"/>
                        <w:lang w:bidi="ar-SA"/>
                      </w:rPr>
                      <w:instrText xml:space="preserve"> PAGE  \* MERGEFORMAT </w:instrText>
                    </w:r>
                    <w:r>
                      <w:rPr>
                        <w:rFonts w:hint="eastAsia" w:ascii="宋体" w:cs="宋体"/>
                        <w:sz w:val="28"/>
                        <w:szCs w:val="28"/>
                        <w:lang w:bidi="ar-SA"/>
                      </w:rPr>
                      <w:fldChar w:fldCharType="separate"/>
                    </w:r>
                    <w:r>
                      <w:rPr>
                        <w:rFonts w:hint="eastAsia" w:ascii="宋体" w:cs="宋体"/>
                        <w:sz w:val="28"/>
                        <w:szCs w:val="28"/>
                        <w:lang w:bidi="ar-SA"/>
                      </w:rPr>
                      <w:t>1</w:t>
                    </w:r>
                    <w:r>
                      <w:rPr>
                        <w:rFonts w:hint="eastAsia" w:ascii="宋体" w:cs="宋体"/>
                        <w:sz w:val="28"/>
                        <w:szCs w:val="28"/>
                        <w:lang w:bidi="ar-SA"/>
                      </w:rPr>
                      <w:fldChar w:fldCharType="end"/>
                    </w:r>
                    <w:r>
                      <w:rPr>
                        <w:rFonts w:hint="eastAsia" w:ascii="宋体" w:cs="宋体"/>
                        <w:sz w:val="28"/>
                        <w:szCs w:val="28"/>
                        <w:lang w:bidi="ar-SA"/>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8B537"/>
    <w:multiLevelType w:val="multilevel"/>
    <w:tmpl w:val="90D8B537"/>
    <w:lvl w:ilvl="0" w:tentative="0">
      <w:start w:val="1"/>
      <w:numFmt w:val="decimal"/>
      <w:lvlText w:val="  %1"/>
      <w:lvlJc w:val="center"/>
      <w:pPr>
        <w:tabs>
          <w:tab w:val="left" w:pos="0"/>
        </w:tabs>
        <w:ind w:left="420" w:hanging="420"/>
      </w:pPr>
      <w:rPr>
        <w:rFonts w:hint="eastAsia" w:ascii="宋体" w:hAnsi="宋体" w:eastAsia="宋体"/>
      </w:rPr>
    </w:lvl>
    <w:lvl w:ilvl="1" w:tentative="0">
      <w:start w:val="1"/>
      <w:numFmt w:val="lowerLetter"/>
      <w:lvlText w:val="%2)"/>
      <w:lvlJc w:val="left"/>
      <w:pPr>
        <w:tabs>
          <w:tab w:val="left" w:pos="0"/>
        </w:tabs>
        <w:ind w:left="840" w:hanging="420"/>
      </w:pPr>
      <w:rPr>
        <w:rFonts w:hint="default" w:ascii="Times New Roman" w:hAnsi="Times New Roman"/>
      </w:rPr>
    </w:lvl>
    <w:lvl w:ilvl="2" w:tentative="0">
      <w:start w:val="1"/>
      <w:numFmt w:val="decimal"/>
      <w:lvlText w:val="%3."/>
      <w:lvlJc w:val="right"/>
      <w:pPr>
        <w:tabs>
          <w:tab w:val="left" w:pos="0"/>
        </w:tabs>
        <w:ind w:left="1260" w:hanging="420"/>
      </w:pPr>
      <w:rPr>
        <w:rFonts w:hint="default" w:ascii="Times New Roman" w:hAnsi="Times New Roman"/>
      </w:rPr>
    </w:lvl>
    <w:lvl w:ilvl="3" w:tentative="0">
      <w:start w:val="1"/>
      <w:numFmt w:val="decimal"/>
      <w:lvlText w:val="%4."/>
      <w:lvlJc w:val="left"/>
      <w:pPr>
        <w:tabs>
          <w:tab w:val="left" w:pos="0"/>
        </w:tabs>
        <w:ind w:left="1680" w:hanging="420"/>
      </w:pPr>
      <w:rPr>
        <w:rFonts w:hint="default" w:ascii="Times New Roman" w:hAnsi="Times New Roman"/>
      </w:rPr>
    </w:lvl>
    <w:lvl w:ilvl="4" w:tentative="0">
      <w:start w:val="1"/>
      <w:numFmt w:val="lowerLetter"/>
      <w:lvlText w:val="%5)"/>
      <w:lvlJc w:val="left"/>
      <w:pPr>
        <w:tabs>
          <w:tab w:val="left" w:pos="0"/>
        </w:tabs>
        <w:ind w:left="2100" w:hanging="420"/>
      </w:pPr>
      <w:rPr>
        <w:rFonts w:hint="default" w:ascii="Times New Roman" w:hAnsi="Times New Roman"/>
      </w:rPr>
    </w:lvl>
    <w:lvl w:ilvl="5" w:tentative="0">
      <w:start w:val="1"/>
      <w:numFmt w:val="decimal"/>
      <w:lvlText w:val="%6."/>
      <w:lvlJc w:val="right"/>
      <w:pPr>
        <w:tabs>
          <w:tab w:val="left" w:pos="0"/>
        </w:tabs>
        <w:ind w:left="2520" w:hanging="420"/>
      </w:pPr>
      <w:rPr>
        <w:rFonts w:hint="default" w:ascii="Times New Roman" w:hAnsi="Times New Roman"/>
      </w:rPr>
    </w:lvl>
    <w:lvl w:ilvl="6" w:tentative="0">
      <w:start w:val="1"/>
      <w:numFmt w:val="decimal"/>
      <w:lvlText w:val="%7."/>
      <w:lvlJc w:val="left"/>
      <w:pPr>
        <w:tabs>
          <w:tab w:val="left" w:pos="0"/>
        </w:tabs>
        <w:ind w:left="2940" w:hanging="420"/>
      </w:pPr>
      <w:rPr>
        <w:rFonts w:hint="default" w:ascii="Times New Roman" w:hAnsi="Times New Roman"/>
      </w:rPr>
    </w:lvl>
    <w:lvl w:ilvl="7" w:tentative="0">
      <w:start w:val="1"/>
      <w:numFmt w:val="lowerLetter"/>
      <w:lvlText w:val="%8)"/>
      <w:lvlJc w:val="left"/>
      <w:pPr>
        <w:tabs>
          <w:tab w:val="left" w:pos="0"/>
        </w:tabs>
        <w:ind w:left="3360" w:hanging="420"/>
      </w:pPr>
      <w:rPr>
        <w:rFonts w:hint="default" w:ascii="Times New Roman" w:hAnsi="Times New Roman"/>
      </w:rPr>
    </w:lvl>
    <w:lvl w:ilvl="8" w:tentative="0">
      <w:start w:val="1"/>
      <w:numFmt w:val="decimal"/>
      <w:lvlText w:val="%9."/>
      <w:lvlJc w:val="right"/>
      <w:pPr>
        <w:tabs>
          <w:tab w:val="left" w:pos="0"/>
        </w:tabs>
        <w:ind w:left="3780" w:hanging="420"/>
      </w:pPr>
      <w:rPr>
        <w:rFonts w:hint="default" w:ascii="Times New Roman" w:hAnsi="Times New Roman"/>
      </w:rPr>
    </w:lvl>
  </w:abstractNum>
  <w:abstractNum w:abstractNumId="1">
    <w:nsid w:val="D1E5959C"/>
    <w:multiLevelType w:val="multilevel"/>
    <w:tmpl w:val="D1E5959C"/>
    <w:lvl w:ilvl="0" w:tentative="0">
      <w:start w:val="1"/>
      <w:numFmt w:val="decimal"/>
      <w:lvlText w:val="%1"/>
      <w:lvlJc w:val="left"/>
      <w:pPr>
        <w:tabs>
          <w:tab w:val="left" w:pos="420"/>
        </w:tabs>
        <w:ind w:left="425" w:hanging="425"/>
      </w:pPr>
      <w:rPr>
        <w:rFonts w:hint="default" w:ascii="Times New Roman" w:hAnsi="Times New Roman"/>
      </w:rPr>
    </w:lvl>
    <w:lvl w:ilvl="1" w:tentative="0">
      <w:start w:val="1"/>
      <w:numFmt w:val="decimal"/>
      <w:lvlRestart w:val="0"/>
      <w:lvlText w:val="%1"/>
      <w:lvlJc w:val="left"/>
      <w:pPr>
        <w:tabs>
          <w:tab w:val="left" w:pos="420"/>
        </w:tabs>
        <w:ind w:left="425" w:hanging="425"/>
      </w:pPr>
      <w:rPr>
        <w:rFonts w:hint="default" w:ascii="Times New Roman" w:hAnsi="Times New Roman"/>
      </w:rPr>
    </w:lvl>
    <w:lvl w:ilvl="2" w:tentative="0">
      <w:start w:val="1"/>
      <w:numFmt w:val="decimal"/>
      <w:lvlRestart w:val="0"/>
      <w:lvlText w:val="%1"/>
      <w:lvlJc w:val="left"/>
      <w:pPr>
        <w:tabs>
          <w:tab w:val="left" w:pos="420"/>
        </w:tabs>
        <w:ind w:left="425" w:hanging="425"/>
      </w:pPr>
      <w:rPr>
        <w:rFonts w:hint="default" w:ascii="Times New Roman" w:hAnsi="Times New Roman"/>
      </w:rPr>
    </w:lvl>
    <w:lvl w:ilvl="3" w:tentative="0">
      <w:start w:val="1"/>
      <w:numFmt w:val="decimal"/>
      <w:lvlRestart w:val="0"/>
      <w:lvlText w:val="%1"/>
      <w:lvlJc w:val="left"/>
      <w:pPr>
        <w:tabs>
          <w:tab w:val="left" w:pos="420"/>
        </w:tabs>
        <w:ind w:left="425" w:hanging="425"/>
      </w:pPr>
      <w:rPr>
        <w:rFonts w:hint="default" w:ascii="Times New Roman" w:hAnsi="Times New Roman"/>
      </w:rPr>
    </w:lvl>
    <w:lvl w:ilvl="4" w:tentative="0">
      <w:start w:val="1"/>
      <w:numFmt w:val="decimal"/>
      <w:lvlRestart w:val="0"/>
      <w:lvlText w:val="%1"/>
      <w:lvlJc w:val="left"/>
      <w:pPr>
        <w:tabs>
          <w:tab w:val="left" w:pos="420"/>
        </w:tabs>
        <w:ind w:left="425" w:hanging="425"/>
      </w:pPr>
      <w:rPr>
        <w:rFonts w:hint="default" w:ascii="Times New Roman" w:hAnsi="Times New Roman"/>
      </w:rPr>
    </w:lvl>
    <w:lvl w:ilvl="5" w:tentative="0">
      <w:start w:val="1"/>
      <w:numFmt w:val="decimal"/>
      <w:lvlRestart w:val="0"/>
      <w:lvlText w:val="%1"/>
      <w:lvlJc w:val="left"/>
      <w:pPr>
        <w:tabs>
          <w:tab w:val="left" w:pos="420"/>
        </w:tabs>
        <w:ind w:left="425" w:hanging="425"/>
      </w:pPr>
      <w:rPr>
        <w:rFonts w:hint="default" w:ascii="Times New Roman" w:hAnsi="Times New Roman"/>
      </w:rPr>
    </w:lvl>
    <w:lvl w:ilvl="6" w:tentative="0">
      <w:start w:val="1"/>
      <w:numFmt w:val="decimal"/>
      <w:lvlRestart w:val="0"/>
      <w:lvlText w:val="%1"/>
      <w:lvlJc w:val="left"/>
      <w:pPr>
        <w:tabs>
          <w:tab w:val="left" w:pos="420"/>
        </w:tabs>
        <w:ind w:left="425" w:hanging="425"/>
      </w:pPr>
      <w:rPr>
        <w:rFonts w:hint="default" w:ascii="Times New Roman" w:hAnsi="Times New Roman"/>
      </w:rPr>
    </w:lvl>
    <w:lvl w:ilvl="7" w:tentative="0">
      <w:start w:val="1"/>
      <w:numFmt w:val="decimal"/>
      <w:lvlRestart w:val="0"/>
      <w:lvlText w:val="%1"/>
      <w:lvlJc w:val="left"/>
      <w:pPr>
        <w:tabs>
          <w:tab w:val="left" w:pos="420"/>
        </w:tabs>
        <w:ind w:left="425" w:hanging="425"/>
      </w:pPr>
      <w:rPr>
        <w:rFonts w:hint="default" w:ascii="Times New Roman" w:hAnsi="Times New Roman"/>
      </w:rPr>
    </w:lvl>
    <w:lvl w:ilvl="8" w:tentative="0">
      <w:start w:val="1"/>
      <w:numFmt w:val="decimal"/>
      <w:lvlRestart w:val="0"/>
      <w:lvlText w:val="%1"/>
      <w:lvlJc w:val="left"/>
      <w:pPr>
        <w:tabs>
          <w:tab w:val="left" w:pos="420"/>
        </w:tabs>
        <w:ind w:left="425" w:hanging="425"/>
      </w:pPr>
      <w:rPr>
        <w:rFonts w:hint="default" w:ascii="Times New Roman" w:hAnsi="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mNTdhYThmNzg0YzU1MTkyNGUxNGZkNWE0MTBjNjUifQ=="/>
  </w:docVars>
  <w:rsids>
    <w:rsidRoot w:val="00127CEB"/>
    <w:rsid w:val="32006090"/>
    <w:rsid w:val="3E603179"/>
    <w:rsid w:val="5CDC3BBF"/>
    <w:rsid w:val="6D7F0D84"/>
    <w:rsid w:val="71015EB7"/>
    <w:rsid w:val="76FB452F"/>
    <w:rsid w:val="7AFD3276"/>
    <w:rsid w:val="ABD441D8"/>
    <w:rsid w:val="BF47D9F9"/>
    <w:rsid w:val="EFDA9D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方正小标宋简体" w:cs="宋体"/>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jc w:val="both"/>
    </w:pPr>
    <w:rPr>
      <w:rFonts w:ascii="Calibri" w:hAnsi="Calibri" w:eastAsia="宋体" w:cs="Times New Roman"/>
      <w:kern w:val="2"/>
      <w:sz w:val="21"/>
      <w:szCs w:val="24"/>
      <w:lang w:val="en-US" w:eastAsia="zh-CN" w:bidi="ar-SA"/>
    </w:rPr>
  </w:style>
  <w:style w:type="paragraph" w:styleId="4">
    <w:name w:val="heading 1"/>
    <w:basedOn w:val="1"/>
    <w:next w:val="1"/>
    <w:uiPriority w:val="0"/>
    <w:pPr>
      <w:keepNext/>
      <w:keepLines/>
      <w:widowControl w:val="0"/>
      <w:suppressAutoHyphens/>
      <w:spacing w:before="340" w:after="330" w:line="578" w:lineRule="auto"/>
      <w:outlineLvl w:val="0"/>
    </w:pPr>
    <w:rPr>
      <w:b/>
      <w:bCs/>
      <w:kern w:val="44"/>
      <w:sz w:val="44"/>
    </w:rPr>
  </w:style>
  <w:style w:type="paragraph" w:styleId="5">
    <w:name w:val="heading 2"/>
    <w:basedOn w:val="1"/>
    <w:next w:val="1"/>
    <w:uiPriority w:val="0"/>
    <w:pPr>
      <w:keepNext/>
      <w:keepLines/>
      <w:widowControl w:val="0"/>
      <w:suppressAutoHyphens/>
      <w:spacing w:before="260" w:after="260" w:line="415" w:lineRule="auto"/>
      <w:outlineLvl w:val="1"/>
    </w:pPr>
    <w:rPr>
      <w:rFonts w:ascii="Luxi Sans" w:hAnsi="Luxi Sans" w:eastAsia="黑体"/>
      <w:b/>
      <w:sz w:val="32"/>
    </w:rPr>
  </w:style>
  <w:style w:type="paragraph" w:styleId="6">
    <w:name w:val="heading 3"/>
    <w:basedOn w:val="1"/>
    <w:next w:val="1"/>
    <w:uiPriority w:val="0"/>
    <w:pPr>
      <w:keepNext/>
      <w:keepLines/>
      <w:widowControl w:val="0"/>
      <w:suppressAutoHyphens/>
      <w:spacing w:before="260" w:after="260" w:line="415" w:lineRule="auto"/>
      <w:outlineLvl w:val="2"/>
    </w:pPr>
    <w:rPr>
      <w:b/>
      <w:sz w:val="32"/>
    </w:rPr>
  </w:style>
  <w:style w:type="character" w:default="1" w:styleId="14">
    <w:name w:val="Default Paragraph Font"/>
    <w:uiPriority w:val="0"/>
  </w:style>
  <w:style w:type="table" w:default="1" w:styleId="13">
    <w:name w:val="Normal Table"/>
    <w:semiHidden/>
    <w:qFormat/>
    <w:uiPriority w:val="0"/>
    <w:tblPr>
      <w:tblStyle w:val="13"/>
      <w:tblCellMar>
        <w:top w:w="0" w:type="dxa"/>
        <w:left w:w="108" w:type="dxa"/>
        <w:bottom w:w="0" w:type="dxa"/>
        <w:right w:w="108" w:type="dxa"/>
      </w:tblCellMar>
    </w:tblPr>
  </w:style>
  <w:style w:type="paragraph" w:customStyle="1" w:styleId="2">
    <w:name w:val="样式1"/>
    <w:next w:val="3"/>
    <w:uiPriority w:val="0"/>
    <w:pPr>
      <w:widowControl w:val="0"/>
      <w:jc w:val="both"/>
    </w:pPr>
    <w:rPr>
      <w:rFonts w:ascii="Calibri" w:hAnsi="Calibri" w:eastAsia="宋体" w:cs="Times New Roman"/>
      <w:b/>
      <w:color w:val="538135"/>
      <w:kern w:val="2"/>
      <w:sz w:val="28"/>
      <w:szCs w:val="21"/>
      <w:lang w:val="en-US" w:eastAsia="zh-CN" w:bidi="ar-SA"/>
    </w:rPr>
  </w:style>
  <w:style w:type="paragraph" w:styleId="3">
    <w:name w:val="index 8"/>
    <w:next w:val="1"/>
    <w:uiPriority w:val="0"/>
    <w:pPr>
      <w:widowControl w:val="0"/>
      <w:ind w:left="2940"/>
      <w:jc w:val="both"/>
    </w:pPr>
    <w:rPr>
      <w:rFonts w:ascii="Times New Roman" w:hAnsi="Times New Roman" w:eastAsia="仿宋_GB2312" w:cs="Times New Roman"/>
      <w:kern w:val="2"/>
      <w:sz w:val="21"/>
      <w:szCs w:val="21"/>
      <w:lang w:val="en-US" w:eastAsia="zh-CN" w:bidi="ar-SA"/>
    </w:rPr>
  </w:style>
  <w:style w:type="paragraph" w:styleId="7">
    <w:name w:val="caption"/>
    <w:basedOn w:val="1"/>
    <w:uiPriority w:val="0"/>
    <w:pPr>
      <w:widowControl w:val="0"/>
      <w:suppressLineNumbers/>
      <w:suppressAutoHyphens/>
      <w:spacing w:before="120" w:after="120"/>
    </w:pPr>
    <w:rPr>
      <w:i/>
      <w:iCs/>
      <w:sz w:val="24"/>
      <w:szCs w:val="24"/>
    </w:rPr>
  </w:style>
  <w:style w:type="paragraph" w:styleId="8">
    <w:name w:val="Body Text"/>
    <w:basedOn w:val="1"/>
    <w:uiPriority w:val="0"/>
    <w:pPr>
      <w:spacing w:before="0" w:after="140" w:line="276" w:lineRule="auto"/>
    </w:pPr>
  </w:style>
  <w:style w:type="paragraph" w:styleId="9">
    <w:name w:val="Balloon Text"/>
    <w:basedOn w:val="1"/>
    <w:uiPriority w:val="0"/>
    <w:rPr>
      <w:rFonts w:eastAsia="方正仿宋简体"/>
      <w:kern w:val="0"/>
      <w:sz w:val="18"/>
      <w:szCs w:val="18"/>
    </w:rPr>
  </w:style>
  <w:style w:type="paragraph" w:styleId="10">
    <w:name w:val="footer"/>
    <w:basedOn w:val="1"/>
    <w:uiPriority w:val="0"/>
    <w:pPr>
      <w:tabs>
        <w:tab w:val="center" w:pos="4153"/>
        <w:tab w:val="right" w:pos="8306"/>
      </w:tabs>
      <w:snapToGrid w:val="0"/>
      <w:jc w:val="left"/>
    </w:pPr>
    <w:rPr>
      <w:sz w:val="18"/>
    </w:rPr>
  </w:style>
  <w:style w:type="paragraph" w:styleId="11">
    <w:name w:val="header"/>
    <w:basedOn w:val="1"/>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12">
    <w:name w:val="List"/>
    <w:basedOn w:val="8"/>
    <w:uiPriority w:val="0"/>
  </w:style>
  <w:style w:type="character" w:customStyle="1" w:styleId="15">
    <w:name w:val="默认段落字体1"/>
    <w:uiPriority w:val="0"/>
  </w:style>
  <w:style w:type="paragraph" w:customStyle="1" w:styleId="16">
    <w:name w:val="Heading"/>
    <w:basedOn w:val="1"/>
    <w:next w:val="8"/>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7">
    <w:name w:val="Index"/>
    <w:basedOn w:val="1"/>
    <w:uiPriority w:val="0"/>
    <w:pPr>
      <w:widowControl w:val="0"/>
      <w:suppressLineNumbers/>
      <w:suppressAutoHyphens/>
    </w:pPr>
  </w:style>
  <w:style w:type="character" w:customStyle="1" w:styleId="18">
    <w:name w:val="font01"/>
    <w:basedOn w:val="14"/>
    <w:uiPriority w:val="0"/>
    <w:rPr>
      <w:rFonts w:ascii="宋体" w:eastAsia="宋体" w:cs="宋体"/>
      <w:color w:val="000000"/>
      <w:sz w:val="22"/>
      <w:szCs w:val="22"/>
      <w:u w:val="none"/>
      <w:lang w:bidi="ar-SA"/>
    </w:rPr>
  </w:style>
  <w:style w:type="character" w:customStyle="1" w:styleId="19">
    <w:name w:val="15"/>
    <w:uiPriority w:val="0"/>
    <w:rPr>
      <w:rFonts w:ascii="仿宋_GB2312" w:eastAsia="仿宋_GB2312"/>
      <w:color w:val="auto"/>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ylmfeng.com</Company>
  <TotalTime>13.3333333333333</TotalTime>
  <ScaleCrop>false</ScaleCrop>
  <LinksUpToDate>false</LinksUpToDate>
  <Application>WPS Office_11.8.2.1122_F1E327BC-269C-435d-A152-05C5408002CA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2018-11-28T17:47:00Z</dcterms:created>
  <dc:creator>uos</dc:creator>
  <cp:lastModifiedBy>uos</cp:lastModifiedBy>
  <cp:lastPrinted>2023-02-03T07:14:00Z</cp:lastPrinted>
  <dcterms:modified xsi:type="dcterms:W3CDTF">2024-02-29T09:30:18Z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
    <vt:lpwstr>2052-12.1.0.16388</vt:lpwstr>
  </property>
  <property fmtid="{D5CDD505-2E9C-101B-9397-08002B2CF9AE}" pid="3" name="KSOProductBuildVer">
    <vt:lpwstr>2052-11.8.2.1122</vt:lpwstr>
  </property>
  <property fmtid="{D5CDD505-2E9C-101B-9397-08002B2CF9AE}" pid="4" name="ICV">
    <vt:lpwstr>74B295B5B4BD64712ADEDF6517B14490</vt:lpwstr>
  </property>
</Properties>
</file>