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80" w:lineRule="atLeast"/>
        <w:jc w:val="center"/>
        <w:rPr>
          <w:rFonts w:ascii="宋体" w:hAnsi="宋体" w:cs="宋体"/>
          <w:b/>
          <w:bCs/>
          <w:kern w:val="0"/>
          <w:sz w:val="44"/>
          <w:szCs w:val="44"/>
          <w:shd w:val="clear" w:color="auto" w:fill="FFFFFF"/>
        </w:rPr>
      </w:pPr>
      <w:bookmarkStart w:id="27" w:name="_GoBack"/>
      <w:bookmarkEnd w:id="27"/>
    </w:p>
    <w:p>
      <w:pPr>
        <w:widowControl/>
        <w:shd w:val="clear" w:color="auto" w:fill="FFFFFF"/>
        <w:spacing w:line="580" w:lineRule="atLeast"/>
        <w:jc w:val="center"/>
        <w:outlineLvl w:val="0"/>
        <w:rPr>
          <w:rFonts w:hint="eastAsia" w:ascii="宋体" w:hAnsi="宋体" w:cs="宋体"/>
          <w:b/>
          <w:bCs/>
          <w:kern w:val="0"/>
          <w:sz w:val="44"/>
          <w:szCs w:val="44"/>
          <w:shd w:val="clear" w:color="auto" w:fill="FFFFFF"/>
        </w:rPr>
      </w:pPr>
      <w:bookmarkStart w:id="0" w:name="_Toc17487"/>
    </w:p>
    <w:p>
      <w:pPr>
        <w:widowControl/>
        <w:shd w:val="clear" w:color="auto" w:fill="FFFFFF"/>
        <w:spacing w:line="580" w:lineRule="atLeast"/>
        <w:jc w:val="center"/>
        <w:outlineLvl w:val="0"/>
        <w:rPr>
          <w:rFonts w:hint="eastAsia" w:ascii="宋体" w:hAnsi="宋体" w:cs="宋体"/>
          <w:b/>
          <w:bCs/>
          <w:kern w:val="0"/>
          <w:sz w:val="44"/>
          <w:szCs w:val="44"/>
          <w:shd w:val="clear" w:color="auto" w:fill="FFFFFF"/>
        </w:rPr>
      </w:pPr>
    </w:p>
    <w:p>
      <w:pPr>
        <w:widowControl/>
        <w:shd w:val="clear" w:color="auto" w:fill="FFFFFF"/>
        <w:spacing w:line="580" w:lineRule="atLeast"/>
        <w:jc w:val="center"/>
        <w:outlineLvl w:val="0"/>
        <w:rPr>
          <w:rFonts w:hint="eastAsia" w:ascii="方正小标宋简体" w:hAnsi="方正小标宋简体" w:eastAsia="方正小标宋简体" w:cs="方正小标宋简体"/>
          <w:b w:val="0"/>
          <w:bCs w:val="0"/>
          <w:kern w:val="0"/>
          <w:sz w:val="44"/>
          <w:szCs w:val="44"/>
          <w:shd w:val="clear" w:color="auto" w:fill="FFFFFF"/>
        </w:rPr>
      </w:pPr>
      <w:r>
        <w:rPr>
          <w:rFonts w:hint="eastAsia" w:ascii="方正小标宋简体" w:hAnsi="方正小标宋简体" w:eastAsia="方正小标宋简体" w:cs="方正小标宋简体"/>
          <w:b w:val="0"/>
          <w:bCs w:val="0"/>
          <w:kern w:val="0"/>
          <w:sz w:val="44"/>
          <w:szCs w:val="44"/>
          <w:shd w:val="clear" w:color="auto" w:fill="FFFFFF"/>
        </w:rPr>
        <w:t>广元市特种设备监督检验所</w:t>
      </w:r>
      <w:bookmarkEnd w:id="0"/>
    </w:p>
    <w:p>
      <w:pPr>
        <w:widowControl/>
        <w:shd w:val="clear" w:color="auto" w:fill="FFFFFF"/>
        <w:spacing w:line="580" w:lineRule="atLeast"/>
        <w:jc w:val="center"/>
        <w:rPr>
          <w:rFonts w:hint="eastAsia" w:ascii="方正小标宋简体" w:hAnsi="方正小标宋简体" w:eastAsia="方正小标宋简体" w:cs="方正小标宋简体"/>
          <w:b w:val="0"/>
          <w:bCs w:val="0"/>
          <w:color w:val="000000"/>
          <w:kern w:val="0"/>
          <w:sz w:val="44"/>
          <w:szCs w:val="44"/>
          <w:shd w:val="clear" w:color="auto" w:fill="FFFFFF"/>
        </w:rPr>
      </w:pPr>
      <w:r>
        <w:rPr>
          <w:rFonts w:hint="eastAsia" w:ascii="方正小标宋简体" w:hAnsi="方正小标宋简体" w:eastAsia="方正小标宋简体" w:cs="方正小标宋简体"/>
          <w:b w:val="0"/>
          <w:bCs w:val="0"/>
          <w:color w:val="000000"/>
          <w:kern w:val="0"/>
          <w:sz w:val="44"/>
          <w:szCs w:val="44"/>
          <w:shd w:val="clear" w:color="auto" w:fill="FFFFFF"/>
        </w:rPr>
        <w:t>2024年部门预算编制说明</w:t>
      </w: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both"/>
        <w:rPr>
          <w:rFonts w:ascii="宋体" w:hAnsi="宋体" w:eastAsia="宋体" w:cs="Times New Roman"/>
          <w:kern w:val="2"/>
          <w:sz w:val="21"/>
          <w:szCs w:val="24"/>
          <w:lang w:val="en-US" w:eastAsia="zh-CN" w:bidi="ar-SA"/>
        </w:rPr>
      </w:pPr>
    </w:p>
    <w:p>
      <w:pPr>
        <w:spacing w:before="0" w:beforeLines="0" w:after="0" w:afterLines="0" w:line="240" w:lineRule="auto"/>
        <w:ind w:left="0" w:leftChars="0" w:right="0" w:rightChars="0" w:firstLine="0" w:firstLineChars="0"/>
        <w:jc w:val="center"/>
        <w:rPr>
          <w:b/>
          <w:bCs/>
          <w:sz w:val="28"/>
          <w:szCs w:val="28"/>
        </w:rPr>
      </w:pPr>
      <w:r>
        <w:rPr>
          <w:rFonts w:ascii="宋体" w:hAnsi="宋体" w:eastAsia="宋体"/>
          <w:b/>
          <w:bCs/>
          <w:sz w:val="28"/>
          <w:szCs w:val="28"/>
        </w:rPr>
        <w:t>目录</w:t>
      </w:r>
    </w:p>
    <w:p>
      <w:pPr>
        <w:pStyle w:val="16"/>
        <w:tabs>
          <w:tab w:val="right" w:leader="dot" w:pos="8845"/>
        </w:tabs>
        <w:spacing w:line="360" w:lineRule="auto"/>
        <w:rPr>
          <w:b/>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color w:val="000000"/>
          <w:kern w:val="0"/>
          <w:sz w:val="21"/>
          <w:szCs w:val="21"/>
          <w:shd w:val="clear" w:color="auto" w:fill="FFFFFF"/>
        </w:rPr>
        <w:instrText xml:space="preserve">TOC \o "1-2" \h \u </w:instrText>
      </w:r>
      <w:r>
        <w:rPr>
          <w:rFonts w:hint="eastAsia" w:ascii="黑体" w:hAnsi="黑体" w:eastAsia="黑体" w:cs="黑体"/>
          <w:color w:val="000000"/>
          <w:kern w:val="0"/>
          <w:sz w:val="21"/>
          <w:szCs w:val="21"/>
          <w:shd w:val="clear" w:color="auto" w:fill="FFFFFF"/>
        </w:rPr>
        <w:fldChar w:fldCharType="separate"/>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_Toc2779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一、基本职能及主要工作</w:t>
      </w:r>
      <w:r>
        <w:rPr>
          <w:b/>
          <w:sz w:val="21"/>
          <w:szCs w:val="21"/>
        </w:rPr>
        <w:tab/>
      </w:r>
      <w:r>
        <w:rPr>
          <w:b/>
          <w:sz w:val="21"/>
          <w:szCs w:val="21"/>
        </w:rPr>
        <w:fldChar w:fldCharType="begin"/>
      </w:r>
      <w:r>
        <w:rPr>
          <w:b/>
          <w:sz w:val="21"/>
          <w:szCs w:val="21"/>
        </w:rPr>
        <w:instrText xml:space="preserve"> PAGEREF _Toc2779 \h </w:instrText>
      </w:r>
      <w:r>
        <w:rPr>
          <w:b/>
          <w:sz w:val="21"/>
          <w:szCs w:val="21"/>
        </w:rPr>
        <w:fldChar w:fldCharType="separate"/>
      </w:r>
      <w:r>
        <w:rPr>
          <w:b/>
          <w:sz w:val="21"/>
          <w:szCs w:val="21"/>
        </w:rPr>
        <w:t>1</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_Toc21140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（一）基本职能</w:t>
      </w:r>
      <w:r>
        <w:rPr>
          <w:sz w:val="21"/>
          <w:szCs w:val="21"/>
        </w:rPr>
        <w:tab/>
      </w:r>
      <w:r>
        <w:rPr>
          <w:sz w:val="21"/>
          <w:szCs w:val="21"/>
        </w:rPr>
        <w:fldChar w:fldCharType="begin"/>
      </w:r>
      <w:r>
        <w:rPr>
          <w:sz w:val="21"/>
          <w:szCs w:val="21"/>
        </w:rPr>
        <w:instrText xml:space="preserve"> PAGEREF _Toc21140 \h </w:instrText>
      </w:r>
      <w:r>
        <w:rPr>
          <w:sz w:val="21"/>
          <w:szCs w:val="21"/>
        </w:rPr>
        <w:fldChar w:fldCharType="separate"/>
      </w:r>
      <w:r>
        <w:rPr>
          <w:sz w:val="21"/>
          <w:szCs w:val="21"/>
        </w:rPr>
        <w:t>1</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_Toc7243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（二）2024年重点工作</w:t>
      </w:r>
      <w:r>
        <w:rPr>
          <w:sz w:val="21"/>
          <w:szCs w:val="21"/>
        </w:rPr>
        <w:tab/>
      </w:r>
      <w:r>
        <w:rPr>
          <w:sz w:val="21"/>
          <w:szCs w:val="21"/>
        </w:rPr>
        <w:fldChar w:fldCharType="begin"/>
      </w:r>
      <w:r>
        <w:rPr>
          <w:sz w:val="21"/>
          <w:szCs w:val="21"/>
        </w:rPr>
        <w:instrText xml:space="preserve"> PAGEREF _Toc7243 \h </w:instrText>
      </w:r>
      <w:r>
        <w:rPr>
          <w:sz w:val="21"/>
          <w:szCs w:val="21"/>
        </w:rPr>
        <w:fldChar w:fldCharType="separate"/>
      </w:r>
      <w:r>
        <w:rPr>
          <w:sz w:val="21"/>
          <w:szCs w:val="21"/>
        </w:rPr>
        <w:t>1</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_Toc19697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二、部门预算单位构成</w:t>
      </w:r>
      <w:r>
        <w:rPr>
          <w:b/>
          <w:sz w:val="21"/>
          <w:szCs w:val="21"/>
        </w:rPr>
        <w:tab/>
      </w:r>
      <w:r>
        <w:rPr>
          <w:b/>
          <w:sz w:val="21"/>
          <w:szCs w:val="21"/>
        </w:rPr>
        <w:fldChar w:fldCharType="begin"/>
      </w:r>
      <w:r>
        <w:rPr>
          <w:b/>
          <w:sz w:val="21"/>
          <w:szCs w:val="21"/>
        </w:rPr>
        <w:instrText xml:space="preserve"> PAGEREF _Toc19697 \h </w:instrText>
      </w:r>
      <w:r>
        <w:rPr>
          <w:b/>
          <w:sz w:val="21"/>
          <w:szCs w:val="21"/>
        </w:rPr>
        <w:fldChar w:fldCharType="separate"/>
      </w:r>
      <w:r>
        <w:rPr>
          <w:b/>
          <w:sz w:val="21"/>
          <w:szCs w:val="21"/>
        </w:rPr>
        <w:t>2</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_Toc75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三、收支预算情况说明</w:t>
      </w:r>
      <w:r>
        <w:rPr>
          <w:b/>
          <w:sz w:val="21"/>
          <w:szCs w:val="21"/>
        </w:rPr>
        <w:tab/>
      </w:r>
      <w:r>
        <w:rPr>
          <w:b/>
          <w:sz w:val="21"/>
          <w:szCs w:val="21"/>
        </w:rPr>
        <w:fldChar w:fldCharType="begin"/>
      </w:r>
      <w:r>
        <w:rPr>
          <w:b/>
          <w:sz w:val="21"/>
          <w:szCs w:val="21"/>
        </w:rPr>
        <w:instrText xml:space="preserve"> PAGEREF _Toc75 \h </w:instrText>
      </w:r>
      <w:r>
        <w:rPr>
          <w:b/>
          <w:sz w:val="21"/>
          <w:szCs w:val="21"/>
        </w:rPr>
        <w:fldChar w:fldCharType="separate"/>
      </w:r>
      <w:r>
        <w:rPr>
          <w:b/>
          <w:sz w:val="21"/>
          <w:szCs w:val="21"/>
        </w:rPr>
        <w:t>2</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_Toc2632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（一）收入预算情况</w:t>
      </w:r>
      <w:r>
        <w:rPr>
          <w:sz w:val="21"/>
          <w:szCs w:val="21"/>
        </w:rPr>
        <w:tab/>
      </w:r>
      <w:r>
        <w:rPr>
          <w:sz w:val="21"/>
          <w:szCs w:val="21"/>
        </w:rPr>
        <w:fldChar w:fldCharType="begin"/>
      </w:r>
      <w:r>
        <w:rPr>
          <w:sz w:val="21"/>
          <w:szCs w:val="21"/>
        </w:rPr>
        <w:instrText xml:space="preserve"> PAGEREF _Toc2632 \h </w:instrText>
      </w:r>
      <w:r>
        <w:rPr>
          <w:sz w:val="21"/>
          <w:szCs w:val="21"/>
        </w:rPr>
        <w:fldChar w:fldCharType="separate"/>
      </w:r>
      <w:r>
        <w:rPr>
          <w:sz w:val="21"/>
          <w:szCs w:val="21"/>
        </w:rPr>
        <w:t>2</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_Toc25695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（二）支出预算情况</w:t>
      </w:r>
      <w:r>
        <w:rPr>
          <w:sz w:val="21"/>
          <w:szCs w:val="21"/>
        </w:rPr>
        <w:tab/>
      </w:r>
      <w:r>
        <w:rPr>
          <w:sz w:val="21"/>
          <w:szCs w:val="21"/>
        </w:rPr>
        <w:fldChar w:fldCharType="begin"/>
      </w:r>
      <w:r>
        <w:rPr>
          <w:sz w:val="21"/>
          <w:szCs w:val="21"/>
        </w:rPr>
        <w:instrText xml:space="preserve"> PAGEREF _Toc25695 \h </w:instrText>
      </w:r>
      <w:r>
        <w:rPr>
          <w:sz w:val="21"/>
          <w:szCs w:val="21"/>
        </w:rPr>
        <w:fldChar w:fldCharType="separate"/>
      </w:r>
      <w:r>
        <w:rPr>
          <w:sz w:val="21"/>
          <w:szCs w:val="21"/>
        </w:rPr>
        <w:t>3</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_Toc352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四、财政拨款收支预算情况说明</w:t>
      </w:r>
      <w:r>
        <w:rPr>
          <w:b/>
          <w:sz w:val="21"/>
          <w:szCs w:val="21"/>
        </w:rPr>
        <w:tab/>
      </w:r>
      <w:r>
        <w:rPr>
          <w:b/>
          <w:sz w:val="21"/>
          <w:szCs w:val="21"/>
        </w:rPr>
        <w:fldChar w:fldCharType="begin"/>
      </w:r>
      <w:r>
        <w:rPr>
          <w:b/>
          <w:sz w:val="21"/>
          <w:szCs w:val="21"/>
        </w:rPr>
        <w:instrText xml:space="preserve"> PAGEREF _Toc352 \h </w:instrText>
      </w:r>
      <w:r>
        <w:rPr>
          <w:b/>
          <w:sz w:val="21"/>
          <w:szCs w:val="21"/>
        </w:rPr>
        <w:fldChar w:fldCharType="separate"/>
      </w:r>
      <w:r>
        <w:rPr>
          <w:b/>
          <w:sz w:val="21"/>
          <w:szCs w:val="21"/>
        </w:rPr>
        <w:t>3</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_Toc11836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五、一般公共预算当年拨款情况说明</w:t>
      </w:r>
      <w:r>
        <w:rPr>
          <w:b/>
          <w:sz w:val="21"/>
          <w:szCs w:val="21"/>
        </w:rPr>
        <w:tab/>
      </w:r>
      <w:r>
        <w:rPr>
          <w:b/>
          <w:sz w:val="21"/>
          <w:szCs w:val="21"/>
        </w:rPr>
        <w:fldChar w:fldCharType="begin"/>
      </w:r>
      <w:r>
        <w:rPr>
          <w:b/>
          <w:sz w:val="21"/>
          <w:szCs w:val="21"/>
        </w:rPr>
        <w:instrText xml:space="preserve"> PAGEREF _Toc11836 \h </w:instrText>
      </w:r>
      <w:r>
        <w:rPr>
          <w:b/>
          <w:sz w:val="21"/>
          <w:szCs w:val="21"/>
        </w:rPr>
        <w:fldChar w:fldCharType="separate"/>
      </w:r>
      <w:r>
        <w:rPr>
          <w:b/>
          <w:sz w:val="21"/>
          <w:szCs w:val="21"/>
        </w:rPr>
        <w:t>3</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_Toc19196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（一）一般公共预算当年拨款规模变化情况</w:t>
      </w:r>
      <w:r>
        <w:rPr>
          <w:sz w:val="21"/>
          <w:szCs w:val="21"/>
        </w:rPr>
        <w:tab/>
      </w:r>
      <w:r>
        <w:rPr>
          <w:sz w:val="21"/>
          <w:szCs w:val="21"/>
        </w:rPr>
        <w:fldChar w:fldCharType="begin"/>
      </w:r>
      <w:r>
        <w:rPr>
          <w:sz w:val="21"/>
          <w:szCs w:val="21"/>
        </w:rPr>
        <w:instrText xml:space="preserve"> PAGEREF _Toc19196 \h </w:instrText>
      </w:r>
      <w:r>
        <w:rPr>
          <w:sz w:val="21"/>
          <w:szCs w:val="21"/>
        </w:rPr>
        <w:fldChar w:fldCharType="separate"/>
      </w:r>
      <w:r>
        <w:rPr>
          <w:sz w:val="21"/>
          <w:szCs w:val="21"/>
        </w:rPr>
        <w:t>3</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_Toc15859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（二）一般公共预算当年拨款结构情况</w:t>
      </w:r>
      <w:r>
        <w:rPr>
          <w:sz w:val="21"/>
          <w:szCs w:val="21"/>
        </w:rPr>
        <w:tab/>
      </w:r>
      <w:r>
        <w:rPr>
          <w:sz w:val="21"/>
          <w:szCs w:val="21"/>
        </w:rPr>
        <w:fldChar w:fldCharType="begin"/>
      </w:r>
      <w:r>
        <w:rPr>
          <w:sz w:val="21"/>
          <w:szCs w:val="21"/>
        </w:rPr>
        <w:instrText xml:space="preserve"> PAGEREF _Toc15859 \h </w:instrText>
      </w:r>
      <w:r>
        <w:rPr>
          <w:sz w:val="21"/>
          <w:szCs w:val="21"/>
        </w:rPr>
        <w:fldChar w:fldCharType="separate"/>
      </w:r>
      <w:r>
        <w:rPr>
          <w:sz w:val="21"/>
          <w:szCs w:val="21"/>
        </w:rPr>
        <w:t>3</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_Toc12248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（三）一般公共预算当年拨款具体使用情况</w:t>
      </w:r>
      <w:r>
        <w:rPr>
          <w:sz w:val="21"/>
          <w:szCs w:val="21"/>
        </w:rPr>
        <w:tab/>
      </w:r>
      <w:r>
        <w:rPr>
          <w:sz w:val="21"/>
          <w:szCs w:val="21"/>
        </w:rPr>
        <w:fldChar w:fldCharType="begin"/>
      </w:r>
      <w:r>
        <w:rPr>
          <w:sz w:val="21"/>
          <w:szCs w:val="21"/>
        </w:rPr>
        <w:instrText xml:space="preserve"> PAGEREF _Toc12248 \h </w:instrText>
      </w:r>
      <w:r>
        <w:rPr>
          <w:sz w:val="21"/>
          <w:szCs w:val="21"/>
        </w:rPr>
        <w:fldChar w:fldCharType="separate"/>
      </w:r>
      <w:r>
        <w:rPr>
          <w:sz w:val="21"/>
          <w:szCs w:val="21"/>
        </w:rPr>
        <w:t>3</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_Toc18039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六、一般公共预算基本支出情况说明</w:t>
      </w:r>
      <w:r>
        <w:rPr>
          <w:b/>
          <w:sz w:val="21"/>
          <w:szCs w:val="21"/>
        </w:rPr>
        <w:tab/>
      </w:r>
      <w:r>
        <w:rPr>
          <w:b/>
          <w:sz w:val="21"/>
          <w:szCs w:val="21"/>
        </w:rPr>
        <w:fldChar w:fldCharType="begin"/>
      </w:r>
      <w:r>
        <w:rPr>
          <w:b/>
          <w:sz w:val="21"/>
          <w:szCs w:val="21"/>
        </w:rPr>
        <w:instrText xml:space="preserve"> PAGEREF _Toc18039 \h </w:instrText>
      </w:r>
      <w:r>
        <w:rPr>
          <w:b/>
          <w:sz w:val="21"/>
          <w:szCs w:val="21"/>
        </w:rPr>
        <w:fldChar w:fldCharType="separate"/>
      </w:r>
      <w:r>
        <w:rPr>
          <w:b/>
          <w:sz w:val="21"/>
          <w:szCs w:val="21"/>
        </w:rPr>
        <w:t>5</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_Toc6049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七、“三公”经费财政拨款预算安排情况说明</w:t>
      </w:r>
      <w:r>
        <w:rPr>
          <w:b/>
          <w:sz w:val="21"/>
          <w:szCs w:val="21"/>
        </w:rPr>
        <w:tab/>
      </w:r>
      <w:r>
        <w:rPr>
          <w:b/>
          <w:sz w:val="21"/>
          <w:szCs w:val="21"/>
        </w:rPr>
        <w:fldChar w:fldCharType="begin"/>
      </w:r>
      <w:r>
        <w:rPr>
          <w:b/>
          <w:sz w:val="21"/>
          <w:szCs w:val="21"/>
        </w:rPr>
        <w:instrText xml:space="preserve"> PAGEREF _Toc6049 \h </w:instrText>
      </w:r>
      <w:r>
        <w:rPr>
          <w:b/>
          <w:sz w:val="21"/>
          <w:szCs w:val="21"/>
        </w:rPr>
        <w:fldChar w:fldCharType="separate"/>
      </w:r>
      <w:r>
        <w:rPr>
          <w:b/>
          <w:sz w:val="21"/>
          <w:szCs w:val="21"/>
        </w:rPr>
        <w:t>5</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_Toc5952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（一）公务接待费</w:t>
      </w:r>
      <w:r>
        <w:rPr>
          <w:sz w:val="21"/>
          <w:szCs w:val="21"/>
        </w:rPr>
        <w:tab/>
      </w:r>
      <w:r>
        <w:rPr>
          <w:sz w:val="21"/>
          <w:szCs w:val="21"/>
        </w:rPr>
        <w:fldChar w:fldCharType="begin"/>
      </w:r>
      <w:r>
        <w:rPr>
          <w:sz w:val="21"/>
          <w:szCs w:val="21"/>
        </w:rPr>
        <w:instrText xml:space="preserve"> PAGEREF _Toc5952 \h </w:instrText>
      </w:r>
      <w:r>
        <w:rPr>
          <w:sz w:val="21"/>
          <w:szCs w:val="21"/>
        </w:rPr>
        <w:fldChar w:fldCharType="separate"/>
      </w:r>
      <w:r>
        <w:rPr>
          <w:sz w:val="21"/>
          <w:szCs w:val="21"/>
        </w:rPr>
        <w:t>5</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_Toc26752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（二） 公务用车购置及运行维护费</w:t>
      </w:r>
      <w:r>
        <w:rPr>
          <w:sz w:val="21"/>
          <w:szCs w:val="21"/>
        </w:rPr>
        <w:tab/>
      </w:r>
      <w:r>
        <w:rPr>
          <w:sz w:val="21"/>
          <w:szCs w:val="21"/>
        </w:rPr>
        <w:fldChar w:fldCharType="begin"/>
      </w:r>
      <w:r>
        <w:rPr>
          <w:sz w:val="21"/>
          <w:szCs w:val="21"/>
        </w:rPr>
        <w:instrText xml:space="preserve"> PAGEREF _Toc26752 \h </w:instrText>
      </w:r>
      <w:r>
        <w:rPr>
          <w:sz w:val="21"/>
          <w:szCs w:val="21"/>
        </w:rPr>
        <w:fldChar w:fldCharType="separate"/>
      </w:r>
      <w:r>
        <w:rPr>
          <w:sz w:val="21"/>
          <w:szCs w:val="21"/>
        </w:rPr>
        <w:t>5</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_Toc18457 </w:instrText>
      </w:r>
      <w:r>
        <w:rPr>
          <w:rFonts w:hint="eastAsia" w:ascii="黑体" w:hAnsi="黑体" w:eastAsia="黑体" w:cs="黑体"/>
          <w:kern w:val="0"/>
          <w:sz w:val="21"/>
          <w:szCs w:val="21"/>
          <w:shd w:val="clear" w:color="auto" w:fill="FFFFFF"/>
        </w:rPr>
        <w:fldChar w:fldCharType="separate"/>
      </w:r>
      <w:r>
        <w:rPr>
          <w:rFonts w:hint="eastAsia" w:ascii="仿宋_GB2312" w:hAnsi="仿宋_GB2312" w:eastAsia="仿宋_GB2312" w:cs="仿宋_GB2312"/>
          <w:sz w:val="21"/>
          <w:szCs w:val="21"/>
        </w:rPr>
        <w:t>（</w:t>
      </w:r>
      <w:r>
        <w:rPr>
          <w:rFonts w:hint="eastAsia" w:ascii="楷体_GB2312" w:hAnsi="楷体_GB2312" w:eastAsia="楷体_GB2312" w:cs="楷体_GB2312"/>
          <w:sz w:val="21"/>
          <w:szCs w:val="21"/>
        </w:rPr>
        <w:t>三）因公出国（境）经费</w:t>
      </w:r>
      <w:r>
        <w:rPr>
          <w:sz w:val="21"/>
          <w:szCs w:val="21"/>
        </w:rPr>
        <w:tab/>
      </w:r>
      <w:r>
        <w:rPr>
          <w:sz w:val="21"/>
          <w:szCs w:val="21"/>
        </w:rPr>
        <w:fldChar w:fldCharType="begin"/>
      </w:r>
      <w:r>
        <w:rPr>
          <w:sz w:val="21"/>
          <w:szCs w:val="21"/>
        </w:rPr>
        <w:instrText xml:space="preserve"> PAGEREF _Toc18457 \h </w:instrText>
      </w:r>
      <w:r>
        <w:rPr>
          <w:sz w:val="21"/>
          <w:szCs w:val="21"/>
        </w:rPr>
        <w:fldChar w:fldCharType="separate"/>
      </w:r>
      <w:r>
        <w:rPr>
          <w:sz w:val="21"/>
          <w:szCs w:val="21"/>
        </w:rPr>
        <w:t>6</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_Toc9267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八、政府性基金预算支出情况说明</w:t>
      </w:r>
      <w:r>
        <w:rPr>
          <w:b/>
          <w:sz w:val="21"/>
          <w:szCs w:val="21"/>
        </w:rPr>
        <w:tab/>
      </w:r>
      <w:r>
        <w:rPr>
          <w:b/>
          <w:sz w:val="21"/>
          <w:szCs w:val="21"/>
        </w:rPr>
        <w:fldChar w:fldCharType="begin"/>
      </w:r>
      <w:r>
        <w:rPr>
          <w:b/>
          <w:sz w:val="21"/>
          <w:szCs w:val="21"/>
        </w:rPr>
        <w:instrText xml:space="preserve"> PAGEREF _Toc9267 \h </w:instrText>
      </w:r>
      <w:r>
        <w:rPr>
          <w:b/>
          <w:sz w:val="21"/>
          <w:szCs w:val="21"/>
        </w:rPr>
        <w:fldChar w:fldCharType="separate"/>
      </w:r>
      <w:r>
        <w:rPr>
          <w:b/>
          <w:sz w:val="21"/>
          <w:szCs w:val="21"/>
        </w:rPr>
        <w:t>6</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_Toc98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九、国有资本经营预算支出情况说明</w:t>
      </w:r>
      <w:r>
        <w:rPr>
          <w:b/>
          <w:sz w:val="21"/>
          <w:szCs w:val="21"/>
        </w:rPr>
        <w:tab/>
      </w:r>
      <w:r>
        <w:rPr>
          <w:b/>
          <w:sz w:val="21"/>
          <w:szCs w:val="21"/>
        </w:rPr>
        <w:fldChar w:fldCharType="begin"/>
      </w:r>
      <w:r>
        <w:rPr>
          <w:b/>
          <w:sz w:val="21"/>
          <w:szCs w:val="21"/>
        </w:rPr>
        <w:instrText xml:space="preserve"> PAGEREF _Toc98 \h </w:instrText>
      </w:r>
      <w:r>
        <w:rPr>
          <w:b/>
          <w:sz w:val="21"/>
          <w:szCs w:val="21"/>
        </w:rPr>
        <w:fldChar w:fldCharType="separate"/>
      </w:r>
      <w:r>
        <w:rPr>
          <w:b/>
          <w:sz w:val="21"/>
          <w:szCs w:val="21"/>
        </w:rPr>
        <w:t>6</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6"/>
        <w:tabs>
          <w:tab w:val="right" w:leader="dot" w:pos="8845"/>
        </w:tabs>
        <w:spacing w:line="360" w:lineRule="auto"/>
        <w:rPr>
          <w:b/>
          <w:sz w:val="21"/>
          <w:szCs w:val="21"/>
        </w:r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_Toc14032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十、其他重要事项的情况说明</w:t>
      </w:r>
      <w:r>
        <w:rPr>
          <w:b/>
          <w:sz w:val="21"/>
          <w:szCs w:val="21"/>
        </w:rPr>
        <w:tab/>
      </w:r>
      <w:r>
        <w:rPr>
          <w:b/>
          <w:sz w:val="21"/>
          <w:szCs w:val="21"/>
        </w:rPr>
        <w:fldChar w:fldCharType="begin"/>
      </w:r>
      <w:r>
        <w:rPr>
          <w:b/>
          <w:sz w:val="21"/>
          <w:szCs w:val="21"/>
        </w:rPr>
        <w:instrText xml:space="preserve"> PAGEREF _Toc14032 \h </w:instrText>
      </w:r>
      <w:r>
        <w:rPr>
          <w:b/>
          <w:sz w:val="21"/>
          <w:szCs w:val="21"/>
        </w:rPr>
        <w:fldChar w:fldCharType="separate"/>
      </w:r>
      <w:r>
        <w:rPr>
          <w:b/>
          <w:sz w:val="21"/>
          <w:szCs w:val="21"/>
        </w:rPr>
        <w:t>6</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_Toc7492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（一）机关运行经费</w:t>
      </w:r>
      <w:r>
        <w:rPr>
          <w:sz w:val="21"/>
          <w:szCs w:val="21"/>
        </w:rPr>
        <w:tab/>
      </w:r>
      <w:r>
        <w:rPr>
          <w:sz w:val="21"/>
          <w:szCs w:val="21"/>
        </w:rPr>
        <w:fldChar w:fldCharType="begin"/>
      </w:r>
      <w:r>
        <w:rPr>
          <w:sz w:val="21"/>
          <w:szCs w:val="21"/>
        </w:rPr>
        <w:instrText xml:space="preserve"> PAGEREF _Toc7492 \h </w:instrText>
      </w:r>
      <w:r>
        <w:rPr>
          <w:sz w:val="21"/>
          <w:szCs w:val="21"/>
        </w:rPr>
        <w:fldChar w:fldCharType="separate"/>
      </w:r>
      <w:r>
        <w:rPr>
          <w:sz w:val="21"/>
          <w:szCs w:val="21"/>
        </w:rPr>
        <w:t>6</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_Toc19612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（二）政府采购情况</w:t>
      </w:r>
      <w:r>
        <w:rPr>
          <w:sz w:val="21"/>
          <w:szCs w:val="21"/>
        </w:rPr>
        <w:tab/>
      </w:r>
      <w:r>
        <w:rPr>
          <w:sz w:val="21"/>
          <w:szCs w:val="21"/>
        </w:rPr>
        <w:fldChar w:fldCharType="begin"/>
      </w:r>
      <w:r>
        <w:rPr>
          <w:sz w:val="21"/>
          <w:szCs w:val="21"/>
        </w:rPr>
        <w:instrText xml:space="preserve"> PAGEREF _Toc19612 \h </w:instrText>
      </w:r>
      <w:r>
        <w:rPr>
          <w:sz w:val="21"/>
          <w:szCs w:val="21"/>
        </w:rPr>
        <w:fldChar w:fldCharType="separate"/>
      </w:r>
      <w:r>
        <w:rPr>
          <w:sz w:val="21"/>
          <w:szCs w:val="21"/>
        </w:rPr>
        <w:t>6</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_Toc22190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（三） 国有资产占有使用情况</w:t>
      </w:r>
      <w:r>
        <w:rPr>
          <w:sz w:val="21"/>
          <w:szCs w:val="21"/>
        </w:rPr>
        <w:tab/>
      </w:r>
      <w:r>
        <w:rPr>
          <w:sz w:val="21"/>
          <w:szCs w:val="21"/>
        </w:rPr>
        <w:fldChar w:fldCharType="begin"/>
      </w:r>
      <w:r>
        <w:rPr>
          <w:sz w:val="21"/>
          <w:szCs w:val="21"/>
        </w:rPr>
        <w:instrText xml:space="preserve"> PAGEREF _Toc22190 \h </w:instrText>
      </w:r>
      <w:r>
        <w:rPr>
          <w:sz w:val="21"/>
          <w:szCs w:val="21"/>
        </w:rPr>
        <w:fldChar w:fldCharType="separate"/>
      </w:r>
      <w:r>
        <w:rPr>
          <w:sz w:val="21"/>
          <w:szCs w:val="21"/>
        </w:rPr>
        <w:t>6</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7"/>
        <w:tabs>
          <w:tab w:val="right" w:leader="dot" w:pos="8845"/>
        </w:tabs>
        <w:spacing w:line="360" w:lineRule="auto"/>
        <w:rPr>
          <w:sz w:val="21"/>
          <w:szCs w:val="21"/>
        </w:rPr>
      </w:pPr>
      <w:r>
        <w:rPr>
          <w:rFonts w:hint="eastAsia" w:ascii="黑体" w:hAnsi="黑体" w:eastAsia="黑体" w:cs="黑体"/>
          <w:color w:val="000000"/>
          <w:kern w:val="0"/>
          <w:sz w:val="21"/>
          <w:szCs w:val="21"/>
          <w:shd w:val="clear" w:color="auto" w:fill="FFFFFF"/>
        </w:rPr>
        <w:fldChar w:fldCharType="begin"/>
      </w:r>
      <w:r>
        <w:rPr>
          <w:rFonts w:hint="eastAsia" w:ascii="黑体" w:hAnsi="黑体" w:eastAsia="黑体" w:cs="黑体"/>
          <w:kern w:val="0"/>
          <w:sz w:val="21"/>
          <w:szCs w:val="21"/>
          <w:shd w:val="clear" w:color="auto" w:fill="FFFFFF"/>
        </w:rPr>
        <w:instrText xml:space="preserve"> HYPERLINK \l _Toc28572 </w:instrText>
      </w:r>
      <w:r>
        <w:rPr>
          <w:rFonts w:hint="eastAsia" w:ascii="黑体" w:hAnsi="黑体" w:eastAsia="黑体" w:cs="黑体"/>
          <w:kern w:val="0"/>
          <w:sz w:val="21"/>
          <w:szCs w:val="21"/>
          <w:shd w:val="clear" w:color="auto" w:fill="FFFFFF"/>
        </w:rPr>
        <w:fldChar w:fldCharType="separate"/>
      </w:r>
      <w:r>
        <w:rPr>
          <w:rFonts w:hint="eastAsia" w:ascii="楷体_GB2312" w:hAnsi="楷体_GB2312" w:eastAsia="楷体_GB2312" w:cs="楷体_GB2312"/>
          <w:sz w:val="21"/>
          <w:szCs w:val="21"/>
        </w:rPr>
        <w:t>（四）绩效目标设置情况</w:t>
      </w:r>
      <w:r>
        <w:rPr>
          <w:sz w:val="21"/>
          <w:szCs w:val="21"/>
        </w:rPr>
        <w:tab/>
      </w:r>
      <w:r>
        <w:rPr>
          <w:sz w:val="21"/>
          <w:szCs w:val="21"/>
        </w:rPr>
        <w:fldChar w:fldCharType="begin"/>
      </w:r>
      <w:r>
        <w:rPr>
          <w:sz w:val="21"/>
          <w:szCs w:val="21"/>
        </w:rPr>
        <w:instrText xml:space="preserve"> PAGEREF _Toc28572 \h </w:instrText>
      </w:r>
      <w:r>
        <w:rPr>
          <w:sz w:val="21"/>
          <w:szCs w:val="21"/>
        </w:rPr>
        <w:fldChar w:fldCharType="separate"/>
      </w:r>
      <w:r>
        <w:rPr>
          <w:sz w:val="21"/>
          <w:szCs w:val="21"/>
        </w:rPr>
        <w:t>7</w:t>
      </w:r>
      <w:r>
        <w:rPr>
          <w:sz w:val="21"/>
          <w:szCs w:val="21"/>
        </w:rPr>
        <w:fldChar w:fldCharType="end"/>
      </w:r>
      <w:r>
        <w:rPr>
          <w:rFonts w:hint="eastAsia" w:ascii="黑体" w:hAnsi="黑体" w:eastAsia="黑体" w:cs="黑体"/>
          <w:color w:val="000000"/>
          <w:kern w:val="0"/>
          <w:sz w:val="21"/>
          <w:szCs w:val="21"/>
          <w:shd w:val="clear" w:color="auto" w:fill="FFFFFF"/>
        </w:rPr>
        <w:fldChar w:fldCharType="end"/>
      </w:r>
    </w:p>
    <w:p>
      <w:pPr>
        <w:pStyle w:val="16"/>
        <w:tabs>
          <w:tab w:val="right" w:leader="dot" w:pos="8845"/>
        </w:tabs>
        <w:spacing w:line="360" w:lineRule="auto"/>
        <w:rPr>
          <w:rFonts w:hint="eastAsia" w:ascii="黑体" w:hAnsi="黑体" w:eastAsia="黑体" w:cs="黑体"/>
          <w:b/>
          <w:color w:val="000000"/>
          <w:kern w:val="0"/>
          <w:sz w:val="21"/>
          <w:szCs w:val="21"/>
          <w:shd w:val="clear" w:color="auto" w:fill="FFFFFF"/>
          <w:lang w:val="en-US" w:eastAsia="zh-CN" w:bidi="ar-SA"/>
        </w:rPr>
        <w:sectPr>
          <w:footerReference r:id="rId3" w:type="default"/>
          <w:pgSz w:w="11906" w:h="16838"/>
          <w:pgMar w:top="2098" w:right="1474" w:bottom="1984" w:left="1587" w:header="720" w:footer="1559" w:gutter="0"/>
          <w:pgBorders>
            <w:top w:val="none" w:sz="0" w:space="0"/>
            <w:left w:val="none" w:sz="0" w:space="0"/>
            <w:bottom w:val="none" w:sz="0" w:space="0"/>
            <w:right w:val="none" w:sz="0" w:space="0"/>
          </w:pgBorders>
          <w:cols w:space="720" w:num="1"/>
          <w:docGrid w:type="lines" w:linePitch="312" w:charSpace="0"/>
        </w:sectPr>
      </w:pPr>
      <w:r>
        <w:rPr>
          <w:rFonts w:hint="eastAsia" w:ascii="黑体" w:hAnsi="黑体" w:eastAsia="黑体" w:cs="黑体"/>
          <w:b/>
          <w:color w:val="000000"/>
          <w:kern w:val="0"/>
          <w:sz w:val="21"/>
          <w:szCs w:val="21"/>
          <w:shd w:val="clear" w:color="auto" w:fill="FFFFFF"/>
        </w:rPr>
        <w:fldChar w:fldCharType="begin"/>
      </w:r>
      <w:r>
        <w:rPr>
          <w:rFonts w:hint="eastAsia" w:ascii="黑体" w:hAnsi="黑体" w:eastAsia="黑体" w:cs="黑体"/>
          <w:b/>
          <w:kern w:val="0"/>
          <w:sz w:val="21"/>
          <w:szCs w:val="21"/>
          <w:shd w:val="clear" w:color="auto" w:fill="FFFFFF"/>
        </w:rPr>
        <w:instrText xml:space="preserve"> HYPERLINK \l _Toc16660 </w:instrText>
      </w:r>
      <w:r>
        <w:rPr>
          <w:rFonts w:hint="eastAsia" w:ascii="黑体" w:hAnsi="黑体" w:eastAsia="黑体" w:cs="黑体"/>
          <w:b/>
          <w:kern w:val="0"/>
          <w:sz w:val="21"/>
          <w:szCs w:val="21"/>
          <w:shd w:val="clear" w:color="auto" w:fill="FFFFFF"/>
        </w:rPr>
        <w:fldChar w:fldCharType="separate"/>
      </w:r>
      <w:r>
        <w:rPr>
          <w:rFonts w:hint="eastAsia" w:ascii="黑体" w:hAnsi="黑体" w:eastAsia="黑体" w:cs="黑体"/>
          <w:b/>
          <w:sz w:val="21"/>
          <w:szCs w:val="21"/>
        </w:rPr>
        <w:t>十一、名词解释</w:t>
      </w:r>
      <w:r>
        <w:rPr>
          <w:b/>
          <w:sz w:val="21"/>
          <w:szCs w:val="21"/>
        </w:rPr>
        <w:tab/>
      </w:r>
      <w:r>
        <w:rPr>
          <w:b/>
          <w:sz w:val="21"/>
          <w:szCs w:val="21"/>
        </w:rPr>
        <w:fldChar w:fldCharType="begin"/>
      </w:r>
      <w:r>
        <w:rPr>
          <w:b/>
          <w:sz w:val="21"/>
          <w:szCs w:val="21"/>
        </w:rPr>
        <w:instrText xml:space="preserve"> PAGEREF _Toc16660 \h </w:instrText>
      </w:r>
      <w:r>
        <w:rPr>
          <w:b/>
          <w:sz w:val="21"/>
          <w:szCs w:val="21"/>
        </w:rPr>
        <w:fldChar w:fldCharType="separate"/>
      </w:r>
      <w:r>
        <w:rPr>
          <w:b/>
          <w:sz w:val="21"/>
          <w:szCs w:val="21"/>
        </w:rPr>
        <w:t>7</w:t>
      </w:r>
      <w:r>
        <w:rPr>
          <w:b/>
          <w:sz w:val="21"/>
          <w:szCs w:val="21"/>
        </w:rPr>
        <w:fldChar w:fldCharType="end"/>
      </w:r>
      <w:r>
        <w:rPr>
          <w:rFonts w:hint="eastAsia" w:ascii="黑体" w:hAnsi="黑体" w:eastAsia="黑体" w:cs="黑体"/>
          <w:b/>
          <w:color w:val="000000"/>
          <w:kern w:val="0"/>
          <w:sz w:val="21"/>
          <w:szCs w:val="21"/>
          <w:shd w:val="clear" w:color="auto" w:fill="FFFFFF"/>
        </w:rPr>
        <w:fldChar w:fldCharType="end"/>
      </w:r>
      <w:r>
        <w:rPr>
          <w:rFonts w:hint="eastAsia" w:ascii="黑体" w:hAnsi="黑体" w:eastAsia="黑体" w:cs="黑体"/>
          <w:b/>
          <w:color w:val="000000"/>
          <w:kern w:val="0"/>
          <w:sz w:val="21"/>
          <w:szCs w:val="21"/>
          <w:shd w:val="clear" w:color="auto" w:fill="FFFFFF"/>
        </w:rPr>
        <w:fldChar w:fldCharType="end"/>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1" w:name="_Toc2779"/>
      <w:r>
        <w:rPr>
          <w:rFonts w:hint="eastAsia" w:ascii="黑体" w:hAnsi="黑体" w:eastAsia="黑体" w:cs="黑体"/>
          <w:sz w:val="32"/>
          <w:szCs w:val="32"/>
        </w:rPr>
        <w:t>一、基本职能及主要工作</w:t>
      </w:r>
      <w:bookmarkEnd w:id="1"/>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outlineLvl w:val="1"/>
        <w:rPr>
          <w:rFonts w:ascii="楷体_GB2312" w:hAnsi="楷体_GB2312" w:eastAsia="楷体_GB2312" w:cs="楷体_GB2312"/>
          <w:sz w:val="32"/>
          <w:szCs w:val="32"/>
        </w:rPr>
      </w:pPr>
      <w:bookmarkStart w:id="2" w:name="_Toc21140"/>
      <w:r>
        <w:rPr>
          <w:rFonts w:hint="eastAsia" w:ascii="楷体_GB2312" w:hAnsi="楷体_GB2312" w:eastAsia="楷体_GB2312" w:cs="楷体_GB2312"/>
          <w:sz w:val="32"/>
          <w:szCs w:val="32"/>
        </w:rPr>
        <w:t>（一）基本职能</w:t>
      </w:r>
      <w:bookmarkEnd w:id="2"/>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成立于1985年，是广元市市场监管局的直属技术机构，核定收支、定额补助的非盈利事业单位，独立法人。业务范围是承担全市锅炉、压力容器(含气瓶)、压力管道、电梯、起重机械等特种设备的定期和监督检验；特种设备安全技术咨询服务等工作。</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outlineLvl w:val="1"/>
        <w:rPr>
          <w:rFonts w:ascii="楷体_GB2312" w:hAnsi="楷体_GB2312" w:eastAsia="楷体_GB2312" w:cs="楷体_GB2312"/>
          <w:sz w:val="32"/>
          <w:szCs w:val="32"/>
        </w:rPr>
      </w:pPr>
      <w:bookmarkStart w:id="3" w:name="_Toc7243"/>
      <w:r>
        <w:rPr>
          <w:rFonts w:hint="eastAsia" w:ascii="楷体_GB2312" w:hAnsi="楷体_GB2312" w:eastAsia="楷体_GB2312" w:cs="楷体_GB2312"/>
          <w:sz w:val="32"/>
          <w:szCs w:val="32"/>
        </w:rPr>
        <w:t>（二）2024年重点工作</w:t>
      </w:r>
      <w:bookmarkEnd w:id="3"/>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1.扎实开展好学习贯彻习近平新时代中国特色社会主义思想主题教育收官工作，认真总结经验，科学运用调研成果，不断提升实践能力，推动特检事业创新发展。</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2.持续深入学习党的二十大、习近平总书记来川来广视察重要指示、省委十二届和市委八届历次全会等重要精神，把党的政治理论学习贯穿工作全过程，不断强化理论武装，提高政治能力。</w:t>
      </w:r>
    </w:p>
    <w:p>
      <w:pPr>
        <w:pStyle w:val="6"/>
        <w:widowControl w:val="0"/>
        <w:pBdr>
          <w:top w:val="none" w:color="auto" w:sz="0" w:space="1"/>
          <w:left w:val="none" w:color="auto" w:sz="0" w:space="4"/>
          <w:bottom w:val="none" w:color="auto" w:sz="0" w:space="1"/>
          <w:right w:val="none" w:color="auto" w:sz="0" w:space="4"/>
          <w:between w:val="none" w:color="auto" w:sz="0" w:space="0"/>
        </w:pBdr>
        <w:suppressAutoHyphens/>
        <w:spacing w:after="0"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3.强化意识形态管理，加强保密工作教育，锻造忠诚爱国、立场坚定的特检队伍。</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4.健全质保体系，扎实质量基础，狠抓检验质量，确保所检特种设备安全经济运行。</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5.严格贯彻落实好电梯检验检测改革工作。</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6.持续深入推进行风建设三年专项行动，结合作风纪律建设，进一步转变工作作风、规范检验行为，提高服务质效。</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7.抓实中石化、中石油、绿色铝产业园等重点企业及曾家旅游度假区、成绵苍巴、G5京昆高速等重点工程的特种设备安全把关工作，为打造“中国绿色铝都”、“全国性综合交通枢纽”和“康养度假胜地”等重点项目贡献更大特检力量。</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8.积极向上争取政策，加大人才引进力度，努力克服人机比矛盾突出的问题。</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9.强化人才培养，不断提升专业能力，为全市特种设备安全把关、日常监管、应急处置等提供强有力技术支撑。</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10.加强技术创新、科研成果申报等工作，不断提高科技兴检水平。</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 w:eastAsia="仿宋" w:cs="仿宋"/>
          <w:sz w:val="32"/>
          <w:szCs w:val="32"/>
        </w:rPr>
      </w:pPr>
      <w:r>
        <w:rPr>
          <w:rFonts w:hint="eastAsia" w:ascii="仿宋_GB2312" w:hAnsi="仿宋_GB2312" w:eastAsia="仿宋_GB2312" w:cs="仿宋_GB2312"/>
          <w:sz w:val="32"/>
          <w:szCs w:val="32"/>
        </w:rPr>
        <w:t>11.完成</w:t>
      </w:r>
      <w:r>
        <w:rPr>
          <w:rFonts w:hint="eastAsia" w:ascii="仿宋_GB2312" w:hAnsi="仿宋_GB2312" w:eastAsia="仿宋_GB2312" w:cs="仿宋_GB2312"/>
          <w:w w:val="95"/>
          <w:sz w:val="32"/>
          <w:szCs w:val="32"/>
        </w:rPr>
        <w:t>锅炉水（介）质检验实验室建设。</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4" w:name="_Toc19697"/>
      <w:r>
        <w:rPr>
          <w:rFonts w:hint="eastAsia" w:ascii="黑体" w:hAnsi="黑体" w:eastAsia="黑体" w:cs="黑体"/>
          <w:sz w:val="32"/>
          <w:szCs w:val="32"/>
        </w:rPr>
        <w:t>二、部门预算单位构成</w:t>
      </w:r>
      <w:bookmarkEnd w:id="4"/>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我单位为广元市市场监督管理局下属二级预算单位，本单位无下属机构，设有内设机构1个。</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5" w:name="_Toc75"/>
      <w:r>
        <w:rPr>
          <w:rFonts w:hint="eastAsia" w:ascii="黑体" w:hAnsi="黑体" w:eastAsia="黑体" w:cs="黑体"/>
          <w:sz w:val="32"/>
          <w:szCs w:val="32"/>
        </w:rPr>
        <w:t>三、收支预算情况说明</w:t>
      </w:r>
      <w:bookmarkEnd w:id="5"/>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按照综合预算的原则，广元市特种设备监督检验所所有收入和支出均纳入部门预算管理。收入包括：一般公共预算拨款收入；支出包括：一般公共服务支出、社会保障和就业支出、卫生健康支出、住房保障支出。广元市特种设备监督检验所2024年收支预算总数895.93万元,比2023年收支预算总数减少2.05万元，主要原因是2023年11月我单位退休一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6" w:name="_Toc2632"/>
      <w:r>
        <w:rPr>
          <w:rFonts w:hint="eastAsia" w:ascii="楷体_GB2312" w:hAnsi="楷体_GB2312" w:eastAsia="楷体_GB2312" w:cs="楷体_GB2312"/>
          <w:sz w:val="32"/>
          <w:szCs w:val="32"/>
        </w:rPr>
        <w:t>（一）收入预算情况</w:t>
      </w:r>
      <w:bookmarkEnd w:id="6"/>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广元市特种设备监督检验所2024年收入预算895.93万元，占100%。</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7" w:name="_Toc25695"/>
      <w:r>
        <w:rPr>
          <w:rFonts w:hint="eastAsia" w:ascii="楷体_GB2312" w:hAnsi="楷体_GB2312" w:eastAsia="楷体_GB2312" w:cs="楷体_GB2312"/>
          <w:sz w:val="32"/>
          <w:szCs w:val="32"/>
        </w:rPr>
        <w:t>（二）支出预算情况</w:t>
      </w:r>
      <w:bookmarkEnd w:id="7"/>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广元市特种设备监督检验所2024年支出预算895.93万元，其中：基本支出395.93万元，占44.19%；项目支出500万元，占55.81%。</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8" w:name="_Toc352"/>
      <w:r>
        <w:rPr>
          <w:rFonts w:hint="eastAsia" w:ascii="黑体" w:hAnsi="黑体" w:eastAsia="黑体" w:cs="黑体"/>
          <w:sz w:val="32"/>
          <w:szCs w:val="32"/>
        </w:rPr>
        <w:t>四、财政拨款收支预算情况说明</w:t>
      </w:r>
      <w:bookmarkEnd w:id="8"/>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广元市特种设备监督检验所2024年财政拨款收支预算总数895.93万元,比2023年财政拨款收支预算总数减少2.05万元，主要原因是2023年11月我单位退休一人。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收入包括：本年一般公共预算拨款收入895.93万元；支出包括：一般公共服务支出802.63万元、社会保障和就业支出49.83万元、卫生健康支出12万元、住房保障支出31.47万元。</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9" w:name="_Toc11836"/>
      <w:r>
        <w:rPr>
          <w:rFonts w:hint="eastAsia" w:ascii="黑体" w:hAnsi="黑体" w:eastAsia="黑体" w:cs="黑体"/>
          <w:sz w:val="32"/>
          <w:szCs w:val="32"/>
        </w:rPr>
        <w:t>五、一般公共预算当年拨款情况说明</w:t>
      </w:r>
      <w:bookmarkEnd w:id="9"/>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10" w:name="_Toc19196"/>
      <w:r>
        <w:rPr>
          <w:rFonts w:hint="eastAsia" w:ascii="楷体_GB2312" w:hAnsi="楷体_GB2312" w:eastAsia="楷体_GB2312" w:cs="楷体_GB2312"/>
          <w:sz w:val="32"/>
          <w:szCs w:val="32"/>
        </w:rPr>
        <w:t>（一）一般公共预算当年拨款规模变化情况</w:t>
      </w:r>
      <w:bookmarkEnd w:id="10"/>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广元市特种设备监督检验所2024年一般公共预算当年拨款895.93万元，比2023年预算数减少2.05万元，主要原因是2023年11月我单位退休一人。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11" w:name="_Toc15859"/>
      <w:r>
        <w:rPr>
          <w:rFonts w:hint="eastAsia" w:ascii="楷体_GB2312" w:hAnsi="楷体_GB2312" w:eastAsia="楷体_GB2312" w:cs="楷体_GB2312"/>
          <w:sz w:val="32"/>
          <w:szCs w:val="32"/>
        </w:rPr>
        <w:t>（二）一般公共预算当年拨款结构情况</w:t>
      </w:r>
      <w:bookmarkEnd w:id="11"/>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一般公共服务支出802.63万元，占89.59%；社会保障和就业支出49.83万元，占5.56%；卫生健康支出12万元，占1.34%；住房保障支出31.47万元，占3.51%。</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12" w:name="_Toc12248"/>
      <w:r>
        <w:rPr>
          <w:rFonts w:hint="eastAsia" w:ascii="楷体_GB2312" w:hAnsi="楷体_GB2312" w:eastAsia="楷体_GB2312" w:cs="楷体_GB2312"/>
          <w:sz w:val="32"/>
          <w:szCs w:val="32"/>
        </w:rPr>
        <w:t>（三）一般公共预算当年拨款具体使用情况</w:t>
      </w:r>
      <w:bookmarkEnd w:id="12"/>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一般公共服务支出（类）市场监督管理事务（款）事业运行（项）2024年预算数为302.63万元。主要用于事业单位工资津补贴、其他工资福利支出、办公经费、印刷费、咨询费、手续费、水费、邮电费、物业管理费、差旅费、培训费、公务接待费、工会经费、福利费、党建经费、公务用车运行维护费、其他对个人和家庭补助、及其他商品和服务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2.一般公共服务支出（类）市场监督管理事务（款）其他市场监督管理事务（项）2024年预算数为500万元。主要用于特种设备检验检测工作经费、特种设备检验检测仪器购置、无损检验检测服务费。</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3.社会保障和就业（类）行政事业单位养老支出（款）机关事业单位基本养老保险缴费支出（项）2024年预算数为37.03万元，主要用于：实施养老保险制度由单位缴纳的基本养老保险支出。</w:t>
      </w:r>
    </w:p>
    <w:p>
      <w:pPr>
        <w:keepNext w:val="0"/>
        <w:keepLines w:val="0"/>
        <w:widowControl w:val="0"/>
        <w:suppressLineNumbers w:val="0"/>
        <w:pBdr>
          <w:top w:val="none" w:color="auto" w:sz="0" w:space="1"/>
          <w:left w:val="none" w:color="auto" w:sz="0" w:space="4"/>
          <w:bottom w:val="none" w:color="auto" w:sz="0" w:space="1"/>
          <w:right w:val="none" w:color="auto" w:sz="0" w:space="4"/>
          <w:between w:val="none" w:color="auto" w:sz="0" w:space="0"/>
        </w:pBdr>
        <w:suppressAutoHyphens/>
        <w:autoSpaceDE w:val="0"/>
        <w:autoSpaceDN/>
        <w:spacing w:before="0" w:beforeAutospacing="0" w:after="0" w:afterAutospacing="0" w:line="576" w:lineRule="exact"/>
        <w:ind w:left="0" w:right="0" w:firstLine="640" w:firstLineChars="200"/>
        <w:jc w:val="both"/>
        <w:rPr>
          <w:rFonts w:hint="eastAsia" w:ascii="仿宋_GB2312" w:hAnsi="仿宋_GB2312" w:eastAsia="仿宋_GB2312" w:cs="仿宋_GB2312"/>
          <w:sz w:val="32"/>
          <w:szCs w:val="32"/>
        </w:rPr>
      </w:pPr>
      <w:r>
        <w:rPr>
          <w:rFonts w:hint="default" w:ascii="仿宋_GB2312" w:hAnsi="仿宋_GB2312" w:eastAsia="仿宋_GB2312" w:cs="仿宋_GB2312"/>
          <w:sz w:val="32"/>
          <w:szCs w:val="32"/>
        </w:rPr>
        <w:t>4.</w:t>
      </w:r>
      <w:r>
        <w:rPr>
          <w:rFonts w:hint="eastAsia" w:ascii="仿宋_GB2312" w:hAnsi="仿宋_GB2312" w:eastAsia="仿宋_GB2312" w:cs="仿宋_GB2312"/>
          <w:sz w:val="32"/>
          <w:szCs w:val="32"/>
        </w:rPr>
        <w:t>社会保障和就业（类）行政事业单位养老支出（款）</w:t>
      </w:r>
      <w:r>
        <w:rPr>
          <w:rFonts w:hint="default" w:ascii="仿宋_GB2312" w:hAnsi="仿宋_GB2312" w:eastAsia="仿宋_GB2312" w:cs="仿宋_GB2312"/>
          <w:sz w:val="32"/>
          <w:szCs w:val="32"/>
        </w:rPr>
        <w:t>机关事业单位职业年金缴费支出</w:t>
      </w:r>
      <w:r>
        <w:rPr>
          <w:rFonts w:hint="eastAsia" w:ascii="仿宋_GB2312" w:hAnsi="仿宋_GB2312" w:eastAsia="仿宋_GB2312" w:cs="仿宋_GB2312"/>
          <w:sz w:val="32"/>
          <w:szCs w:val="32"/>
        </w:rPr>
        <w:t>（项）2024年预算数为</w:t>
      </w:r>
      <w:r>
        <w:rPr>
          <w:rFonts w:hint="default" w:ascii="仿宋_GB2312" w:hAnsi="仿宋_GB2312" w:eastAsia="仿宋_GB2312" w:cs="仿宋_GB2312"/>
          <w:sz w:val="32"/>
          <w:szCs w:val="32"/>
        </w:rPr>
        <w:t>12.8</w:t>
      </w:r>
      <w:r>
        <w:rPr>
          <w:rFonts w:hint="eastAsia" w:ascii="仿宋_GB2312" w:hAnsi="仿宋_GB2312" w:eastAsia="仿宋_GB2312" w:cs="仿宋_GB2312"/>
          <w:sz w:val="32"/>
          <w:szCs w:val="32"/>
        </w:rPr>
        <w:t>万元，主要用于：</w:t>
      </w:r>
      <w:r>
        <w:rPr>
          <w:rFonts w:hint="default" w:ascii="仿宋_GB2312" w:hAnsi="Calibri" w:eastAsia="仿宋_GB2312" w:cs="仿宋_GB2312"/>
          <w:kern w:val="2"/>
          <w:sz w:val="32"/>
          <w:szCs w:val="32"/>
          <w:lang w:val="en-US" w:eastAsia="zh-CN" w:bidi="ar"/>
        </w:rPr>
        <w:t>实施养老保险制度由单位缴纳的职业年金支出。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default" w:ascii="仿宋_GB2312" w:hAnsi="仿宋_GB2312" w:eastAsia="仿宋_GB2312" w:cs="仿宋_GB2312"/>
          <w:sz w:val="32"/>
          <w:szCs w:val="32"/>
        </w:rPr>
        <w:t>5</w:t>
      </w:r>
      <w:r>
        <w:rPr>
          <w:rFonts w:hint="eastAsia" w:ascii="仿宋_GB2312" w:hAnsi="仿宋_GB2312" w:eastAsia="仿宋_GB2312" w:cs="仿宋_GB2312"/>
          <w:sz w:val="32"/>
          <w:szCs w:val="32"/>
        </w:rPr>
        <w:t>.卫生健康（类）行政事业单位医疗（款）事业单位医疗（项）2024年预算数为12万元，主要用于：按规定由单位缴纳的基本医疗保险支出。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default" w:ascii="仿宋_GB2312" w:hAnsi="仿宋_GB2312" w:eastAsia="仿宋_GB2312" w:cs="仿宋_GB2312"/>
          <w:sz w:val="32"/>
          <w:szCs w:val="32"/>
        </w:rPr>
        <w:t>6</w:t>
      </w:r>
      <w:r>
        <w:rPr>
          <w:rFonts w:hint="eastAsia" w:ascii="仿宋_GB2312" w:hAnsi="仿宋_GB2312" w:eastAsia="仿宋_GB2312" w:cs="仿宋_GB2312"/>
          <w:sz w:val="32"/>
          <w:szCs w:val="32"/>
        </w:rPr>
        <w:t>.住房保障（类）住房改革支出（款）住房公积金（项）2024年预算数为31.47万元，主要用于：部门按规定为职工缴纳的住房公积金支出。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13" w:name="_Toc18039"/>
      <w:r>
        <w:rPr>
          <w:rFonts w:hint="eastAsia" w:ascii="黑体" w:hAnsi="黑体" w:eastAsia="黑体" w:cs="黑体"/>
          <w:sz w:val="32"/>
          <w:szCs w:val="32"/>
        </w:rPr>
        <w:t>六、一般公共预算基本支出情况说明</w:t>
      </w:r>
      <w:bookmarkEnd w:id="13"/>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广元市特种设备监督检验所2024年一般公共预算基本支出395.93万元，其中：</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人员经费353.84万元，主要包括：基本工资、津贴补贴、奖金、</w:t>
      </w:r>
      <w:r>
        <w:rPr>
          <w:rFonts w:hint="default" w:ascii="仿宋_GB2312" w:hAnsi="仿宋_GB2312" w:eastAsia="仿宋_GB2312" w:cs="仿宋_GB2312"/>
          <w:sz w:val="32"/>
          <w:szCs w:val="32"/>
        </w:rPr>
        <w:t>绩效工资、</w:t>
      </w:r>
      <w:r>
        <w:rPr>
          <w:rFonts w:hint="eastAsia" w:ascii="仿宋_GB2312" w:hAnsi="仿宋_GB2312" w:eastAsia="仿宋_GB2312" w:cs="仿宋_GB2312"/>
          <w:sz w:val="32"/>
          <w:szCs w:val="32"/>
        </w:rPr>
        <w:t>社会保险缴费、住房公积金</w:t>
      </w:r>
      <w:r>
        <w:rPr>
          <w:rFonts w:hint="default" w:ascii="仿宋_GB2312" w:hAnsi="仿宋_GB2312" w:eastAsia="仿宋_GB2312" w:cs="仿宋_GB2312"/>
          <w:sz w:val="32"/>
          <w:szCs w:val="32"/>
        </w:rPr>
        <w:t>、生活补助</w:t>
      </w:r>
      <w:r>
        <w:rPr>
          <w:rFonts w:hint="eastAsia" w:ascii="仿宋_GB2312" w:hAnsi="仿宋_GB2312" w:eastAsia="仿宋_GB2312" w:cs="仿宋_GB2312"/>
          <w:sz w:val="32"/>
          <w:szCs w:val="32"/>
        </w:rPr>
        <w:t>等支出。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b/>
          <w:bCs/>
          <w:sz w:val="32"/>
          <w:szCs w:val="32"/>
        </w:rPr>
      </w:pPr>
      <w:r>
        <w:rPr>
          <w:rFonts w:hint="eastAsia" w:ascii="仿宋_GB2312" w:hAnsi="仿宋_GB2312" w:eastAsia="仿宋_GB2312" w:cs="仿宋_GB2312"/>
          <w:sz w:val="32"/>
          <w:szCs w:val="32"/>
        </w:rPr>
        <w:t>公用经费42.08万元，主要包括：办公费、印刷费、咨询费、水费、邮电费、物业管理费、差旅费、培训费、公务接待费、工会经费、福利费、公务用车运行维护费、税金及附加费用、</w:t>
      </w:r>
      <w:r>
        <w:rPr>
          <w:rFonts w:hint="default" w:ascii="仿宋_GB2312" w:hAnsi="仿宋_GB2312" w:eastAsia="仿宋_GB2312" w:cs="仿宋_GB2312"/>
          <w:sz w:val="32"/>
          <w:szCs w:val="32"/>
        </w:rPr>
        <w:t>其他商品和服务支出</w:t>
      </w:r>
      <w:r>
        <w:rPr>
          <w:rFonts w:hint="eastAsia" w:ascii="仿宋_GB2312" w:hAnsi="仿宋_GB2312" w:eastAsia="仿宋_GB2312" w:cs="仿宋_GB2312"/>
          <w:sz w:val="32"/>
          <w:szCs w:val="32"/>
        </w:rPr>
        <w:t>等支出。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14" w:name="_Toc6049"/>
      <w:r>
        <w:rPr>
          <w:rFonts w:hint="eastAsia" w:ascii="黑体" w:hAnsi="黑体" w:eastAsia="黑体" w:cs="黑体"/>
          <w:sz w:val="32"/>
          <w:szCs w:val="32"/>
        </w:rPr>
        <w:t>七、“三公”经费财政拨款预算安排情况说明</w:t>
      </w:r>
      <w:bookmarkEnd w:id="14"/>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广元市特种设备监督检验所2024年“三公”经费财政拨款预算数4.65万元，其中：公务接待费0.45万元，公务用车购置及运行维护费4.2万元，因公出国（境）经费0万元。</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15" w:name="_Toc5952"/>
      <w:r>
        <w:rPr>
          <w:rFonts w:hint="eastAsia" w:ascii="楷体_GB2312" w:hAnsi="楷体_GB2312" w:eastAsia="楷体_GB2312" w:cs="楷体_GB2312"/>
          <w:sz w:val="32"/>
          <w:szCs w:val="32"/>
        </w:rPr>
        <w:t>（一）公务接待费</w:t>
      </w:r>
      <w:bookmarkEnd w:id="15"/>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uppressAutoHyphens/>
        <w:kinsoku/>
        <w:wordWrap/>
        <w:overflowPunct/>
        <w:topLinePunct w:val="0"/>
        <w:autoSpaceDE/>
        <w:autoSpaceDN/>
        <w:bidi w:val="0"/>
        <w:adjustRightInd/>
        <w:snapToGrid/>
        <w:spacing w:line="576" w:lineRule="exact"/>
        <w:ind w:firstLine="640"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公务接待费与2023年预算相比持平。</w:t>
      </w:r>
      <w:r>
        <w:rPr>
          <w:rFonts w:hint="eastAsia" w:ascii="仿宋_GB2312" w:hAnsi="仿宋_GB2312" w:eastAsia="仿宋_GB2312" w:cs="仿宋_GB2312"/>
          <w:sz w:val="32"/>
          <w:szCs w:val="32"/>
          <w:lang w:val="en-US" w:eastAsia="zh-CN"/>
        </w:rPr>
        <w:t>2024年公务接待费计划用于执行接待考察调研、检查指导等公务活动开支的交通费、住宿费、用餐费等。</w:t>
      </w:r>
    </w:p>
    <w:p>
      <w:pPr>
        <w:widowControl w:val="0"/>
        <w:numPr>
          <w:ilvl w:val="0"/>
          <w:numId w:val="1"/>
        </w:numPr>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16" w:name="_Toc26752"/>
      <w:r>
        <w:rPr>
          <w:rFonts w:hint="eastAsia" w:ascii="楷体_GB2312" w:hAnsi="楷体_GB2312" w:eastAsia="楷体_GB2312" w:cs="楷体_GB2312"/>
          <w:sz w:val="32"/>
          <w:szCs w:val="32"/>
        </w:rPr>
        <w:t>公务用车购置及运行维护费</w:t>
      </w:r>
      <w:bookmarkEnd w:id="16"/>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公务用车购置及运行维护费与2023年预算相比持平。</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单位现有公务用车2辆，其中：轿车1辆，越野车1辆。</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2024年安排公务用车购置费0万元。</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2024年安排公务用车运行维护费4.2万元，用于2辆公务用车燃油、过路（桥）、维修、保险等方面支出，主要保障我单位</w:t>
      </w: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rPr>
        <w:t>辆公务用车运行维护费。</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jc w:val="both"/>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bookmarkStart w:id="17" w:name="_Toc18457"/>
      <w:r>
        <w:rPr>
          <w:rFonts w:hint="eastAsia" w:ascii="仿宋_GB2312" w:hAnsi="仿宋_GB2312" w:eastAsia="仿宋_GB2312" w:cs="仿宋_GB2312"/>
          <w:sz w:val="32"/>
          <w:szCs w:val="32"/>
        </w:rPr>
        <w:t>（</w:t>
      </w:r>
      <w:r>
        <w:rPr>
          <w:rFonts w:hint="eastAsia" w:ascii="楷体_GB2312" w:hAnsi="楷体_GB2312" w:eastAsia="楷体_GB2312" w:cs="楷体_GB2312"/>
          <w:sz w:val="32"/>
          <w:szCs w:val="32"/>
        </w:rPr>
        <w:t>三）因公出国（境）经费</w:t>
      </w:r>
      <w:bookmarkEnd w:id="17"/>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因公出国（境）经费与2023年预算相比持平。</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18" w:name="_Toc9267"/>
      <w:r>
        <w:rPr>
          <w:rFonts w:hint="eastAsia" w:ascii="黑体" w:hAnsi="黑体" w:eastAsia="黑体" w:cs="黑体"/>
          <w:sz w:val="32"/>
          <w:szCs w:val="32"/>
        </w:rPr>
        <w:t>八、政府性基金预算支出情况说明</w:t>
      </w:r>
      <w:bookmarkEnd w:id="18"/>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广元市特种设备监督检验所2024年无政府性基金预算拨款安排的支出。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19" w:name="_Toc98"/>
      <w:r>
        <w:rPr>
          <w:rFonts w:hint="eastAsia" w:ascii="黑体" w:hAnsi="黑体" w:eastAsia="黑体" w:cs="黑体"/>
          <w:sz w:val="32"/>
          <w:szCs w:val="32"/>
        </w:rPr>
        <w:t>九、国有资本经营预算支出情况说明</w:t>
      </w:r>
      <w:bookmarkEnd w:id="19"/>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广元市特种设备监督检验所2024年无国有资本经营预算拨款安排的支出。</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20" w:name="_Toc14032"/>
      <w:r>
        <w:rPr>
          <w:rFonts w:hint="eastAsia" w:ascii="黑体" w:hAnsi="黑体" w:eastAsia="黑体" w:cs="黑体"/>
          <w:sz w:val="32"/>
          <w:szCs w:val="32"/>
        </w:rPr>
        <w:t>十、其他重要事项的情况说明</w:t>
      </w:r>
      <w:bookmarkEnd w:id="20"/>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21" w:name="_Toc7492"/>
      <w:r>
        <w:rPr>
          <w:rFonts w:hint="eastAsia" w:ascii="楷体_GB2312" w:hAnsi="楷体_GB2312" w:eastAsia="楷体_GB2312" w:cs="楷体_GB2312"/>
          <w:sz w:val="32"/>
          <w:szCs w:val="32"/>
        </w:rPr>
        <w:t>（一）机关运行经费</w:t>
      </w:r>
      <w:bookmarkEnd w:id="21"/>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广元市特种设备监督检验所为事业单位，按规定未使用机关运行的相关科目。</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22" w:name="_Toc19612"/>
      <w:r>
        <w:rPr>
          <w:rFonts w:hint="eastAsia" w:ascii="楷体_GB2312" w:hAnsi="楷体_GB2312" w:eastAsia="楷体_GB2312" w:cs="楷体_GB2312"/>
          <w:sz w:val="32"/>
          <w:szCs w:val="32"/>
        </w:rPr>
        <w:t>（二）政府采购情况</w:t>
      </w:r>
      <w:bookmarkEnd w:id="22"/>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2024年，广元市特种设备监督检验所安排政府采购预算290万元，其中：政府采购货物预算210万元、政府采购服务预算80万元。</w:t>
      </w:r>
    </w:p>
    <w:p>
      <w:pPr>
        <w:widowControl w:val="0"/>
        <w:numPr>
          <w:ilvl w:val="0"/>
          <w:numId w:val="1"/>
        </w:numPr>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23" w:name="_Toc22190"/>
      <w:r>
        <w:rPr>
          <w:rFonts w:hint="eastAsia" w:ascii="楷体_GB2312" w:hAnsi="楷体_GB2312" w:eastAsia="楷体_GB2312" w:cs="楷体_GB2312"/>
          <w:sz w:val="32"/>
          <w:szCs w:val="32"/>
        </w:rPr>
        <w:t>国有资产占有使用情况</w:t>
      </w:r>
      <w:bookmarkEnd w:id="23"/>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截至2023年底，我单位共有车辆2辆，其中特种设备检验业务用车2辆。单位</w:t>
      </w:r>
      <w:r>
        <w:rPr>
          <w:rFonts w:hint="default" w:ascii="仿宋_GB2312" w:hAnsi="仿宋_GB2312" w:eastAsia="仿宋_GB2312" w:cs="仿宋_GB2312"/>
          <w:sz w:val="32"/>
          <w:szCs w:val="32"/>
        </w:rPr>
        <w:t>无</w:t>
      </w:r>
      <w:r>
        <w:rPr>
          <w:rFonts w:hint="eastAsia" w:ascii="仿宋_GB2312" w:hAnsi="仿宋_GB2312" w:eastAsia="仿宋_GB2312" w:cs="仿宋_GB2312"/>
          <w:sz w:val="32"/>
          <w:szCs w:val="32"/>
        </w:rPr>
        <w:t>价值</w:t>
      </w:r>
      <w:r>
        <w:rPr>
          <w:rFonts w:hint="default" w:ascii="仿宋_GB2312" w:hAnsi="仿宋_GB2312" w:eastAsia="仿宋_GB2312" w:cs="仿宋_GB2312"/>
          <w:sz w:val="32"/>
          <w:szCs w:val="32"/>
        </w:rPr>
        <w:t>20</w:t>
      </w:r>
      <w:r>
        <w:rPr>
          <w:rFonts w:hint="eastAsia" w:ascii="仿宋_GB2312" w:hAnsi="仿宋_GB2312" w:eastAsia="仿宋_GB2312" w:cs="仿宋_GB2312"/>
          <w:sz w:val="32"/>
          <w:szCs w:val="32"/>
        </w:rPr>
        <w:t>0万元以上大型设备。</w:t>
      </w:r>
    </w:p>
    <w:p>
      <w:pPr>
        <w:keepNext w:val="0"/>
        <w:keepLines w:val="0"/>
        <w:widowControl w:val="0"/>
        <w:suppressLineNumbers w:val="0"/>
        <w:pBdr>
          <w:top w:val="none" w:color="auto" w:sz="0" w:space="1"/>
          <w:left w:val="none" w:color="auto" w:sz="0" w:space="4"/>
          <w:bottom w:val="none" w:color="auto" w:sz="0" w:space="1"/>
          <w:right w:val="none" w:color="auto" w:sz="0" w:space="4"/>
          <w:between w:val="none" w:color="auto" w:sz="0" w:space="0"/>
        </w:pBdr>
        <w:suppressAutoHyphens/>
        <w:spacing w:before="0" w:beforeAutospacing="0" w:after="0" w:afterAutospacing="0" w:line="576" w:lineRule="exact"/>
        <w:ind w:left="0" w:right="0" w:firstLine="640" w:firstLineChars="200"/>
        <w:jc w:val="both"/>
        <w:rPr>
          <w:rFonts w:ascii="仿宋_GB2312" w:hAnsi="仿宋_GB2312" w:eastAsia="仿宋_GB2312" w:cs="仿宋_GB2312"/>
          <w:sz w:val="32"/>
          <w:szCs w:val="32"/>
        </w:rPr>
      </w:pPr>
      <w:r>
        <w:rPr>
          <w:rFonts w:hint="default" w:ascii="仿宋_GB2312" w:hAnsi="Calibri" w:eastAsia="仿宋_GB2312" w:cs="仿宋_GB2312"/>
          <w:kern w:val="2"/>
          <w:sz w:val="32"/>
          <w:szCs w:val="32"/>
          <w:lang w:val="en-US" w:eastAsia="zh-CN" w:bidi="ar"/>
        </w:rPr>
        <w:t>2024年</w:t>
      </w:r>
      <w:r>
        <w:rPr>
          <w:rFonts w:hint="default" w:ascii="仿宋_GB2312" w:eastAsia="仿宋_GB2312" w:cs="仿宋_GB2312"/>
          <w:kern w:val="2"/>
          <w:sz w:val="32"/>
          <w:szCs w:val="32"/>
          <w:lang w:eastAsia="zh-CN" w:bidi="ar"/>
        </w:rPr>
        <w:t>单位</w:t>
      </w:r>
      <w:r>
        <w:rPr>
          <w:rFonts w:hint="default" w:ascii="仿宋_GB2312" w:hAnsi="Calibri" w:eastAsia="仿宋_GB2312" w:cs="仿宋_GB2312"/>
          <w:kern w:val="2"/>
          <w:sz w:val="32"/>
          <w:szCs w:val="32"/>
          <w:lang w:val="en-US" w:eastAsia="zh-CN" w:bidi="ar"/>
        </w:rPr>
        <w:t>预算未安排购置车辆及单位价值200万元以上大型设备</w:t>
      </w:r>
      <w:r>
        <w:rPr>
          <w:rFonts w:hint="eastAsia" w:ascii="仿宋_GB2312" w:hAnsi="仿宋_GB2312" w:eastAsia="仿宋_GB2312" w:cs="仿宋_GB2312"/>
          <w:sz w:val="32"/>
          <w:szCs w:val="32"/>
        </w:rPr>
        <w:t>。</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1"/>
        <w:rPr>
          <w:rFonts w:ascii="楷体_GB2312" w:hAnsi="楷体_GB2312" w:eastAsia="楷体_GB2312" w:cs="楷体_GB2312"/>
          <w:sz w:val="32"/>
          <w:szCs w:val="32"/>
        </w:rPr>
      </w:pPr>
      <w:bookmarkStart w:id="24" w:name="_Toc28572"/>
      <w:r>
        <w:rPr>
          <w:rFonts w:hint="eastAsia" w:ascii="楷体_GB2312" w:hAnsi="楷体_GB2312" w:eastAsia="楷体_GB2312" w:cs="楷体_GB2312"/>
          <w:sz w:val="32"/>
          <w:szCs w:val="32"/>
        </w:rPr>
        <w:t>（四）绩效目标设置情况</w:t>
      </w:r>
      <w:bookmarkEnd w:id="24"/>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2024年广元市特种设备监督检验所开展绩效目标管理的项目</w:t>
      </w:r>
      <w:r>
        <w:rPr>
          <w:rFonts w:hint="default" w:ascii="仿宋_GB2312" w:hAnsi="仿宋_GB2312" w:eastAsia="仿宋_GB2312" w:cs="仿宋_GB2312"/>
          <w:sz w:val="32"/>
          <w:szCs w:val="32"/>
        </w:rPr>
        <w:t>5</w:t>
      </w:r>
      <w:r>
        <w:rPr>
          <w:rFonts w:hint="eastAsia" w:ascii="仿宋_GB2312" w:hAnsi="仿宋_GB2312" w:eastAsia="仿宋_GB2312" w:cs="仿宋_GB2312"/>
          <w:sz w:val="32"/>
          <w:szCs w:val="32"/>
        </w:rPr>
        <w:t>个，涉及预算895.93万元。其中：人员类项目1个，涉及预算 353.84万元；运转类项目1个，涉及预算42.08万元；特定目标类项目3个，涉及预算500万元。</w:t>
      </w:r>
    </w:p>
    <w:p>
      <w:pPr>
        <w:widowControl w:val="0"/>
        <w:pBdr>
          <w:top w:val="none" w:color="auto" w:sz="0" w:space="1"/>
          <w:left w:val="none" w:color="auto" w:sz="0" w:space="4"/>
          <w:bottom w:val="none" w:color="auto" w:sz="0" w:space="1"/>
          <w:right w:val="none" w:color="auto" w:sz="0" w:space="4"/>
          <w:between w:val="none" w:color="auto" w:sz="0" w:space="0"/>
        </w:pBdr>
        <w:suppressAutoHyphens/>
        <w:spacing w:line="576" w:lineRule="exact"/>
        <w:ind w:firstLine="640" w:firstLineChars="200"/>
        <w:jc w:val="both"/>
        <w:outlineLvl w:val="0"/>
        <w:rPr>
          <w:rFonts w:ascii="黑体" w:hAnsi="黑体" w:eastAsia="黑体" w:cs="黑体"/>
          <w:sz w:val="32"/>
          <w:szCs w:val="32"/>
        </w:rPr>
      </w:pPr>
      <w:bookmarkStart w:id="25" w:name="_Toc16660"/>
      <w:r>
        <w:rPr>
          <w:rFonts w:hint="eastAsia" w:ascii="黑体" w:hAnsi="黑体" w:eastAsia="黑体" w:cs="黑体"/>
          <w:sz w:val="32"/>
          <w:szCs w:val="32"/>
        </w:rPr>
        <w:t>十一、名词解释</w:t>
      </w:r>
      <w:bookmarkEnd w:id="25"/>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hint="eastAsia" w:ascii="仿宋_GB2312" w:hAnsi="仿宋_GB2312" w:eastAsia="仿宋_GB2312" w:cs="仿宋_GB2312"/>
          <w:sz w:val="32"/>
          <w:szCs w:val="32"/>
        </w:rPr>
      </w:pPr>
      <w:bookmarkStart w:id="26" w:name="_Toc29397"/>
      <w:r>
        <w:rPr>
          <w:rFonts w:hint="eastAsia" w:ascii="仿宋_GB2312" w:hAnsi="仿宋_GB2312" w:eastAsia="仿宋_GB2312" w:cs="仿宋_GB2312"/>
          <w:sz w:val="32"/>
          <w:szCs w:val="32"/>
        </w:rPr>
        <w:t>（一）</w:t>
      </w:r>
      <w:bookmarkEnd w:id="26"/>
      <w:r>
        <w:rPr>
          <w:rFonts w:hint="default" w:ascii="仿宋_GB2312" w:hAnsi="仿宋_GB2312" w:eastAsia="仿宋_GB2312" w:cs="仿宋_GB2312"/>
          <w:sz w:val="32"/>
          <w:szCs w:val="32"/>
        </w:rPr>
        <w:t>财政</w:t>
      </w:r>
      <w:r>
        <w:rPr>
          <w:rFonts w:hint="eastAsia" w:ascii="仿宋_GB2312" w:hAnsi="仿宋_GB2312" w:eastAsia="仿宋_GB2312" w:cs="仿宋_GB2312"/>
          <w:sz w:val="32"/>
          <w:szCs w:val="32"/>
        </w:rPr>
        <w:t>拨款收入：</w:t>
      </w:r>
      <w:r>
        <w:rPr>
          <w:rFonts w:hint="eastAsia" w:ascii="仿宋_GB2312" w:hAnsi="仿宋_GB2312" w:eastAsia="仿宋_GB2312" w:cs="仿宋_GB2312"/>
          <w:sz w:val="32"/>
          <w:szCs w:val="32"/>
          <w:lang w:val="en-US" w:eastAsia="zh-CN"/>
        </w:rPr>
        <w:t>指市财政当年安排的财政预算收入。按现行管理制度</w:t>
      </w:r>
      <w:r>
        <w:rPr>
          <w:rFonts w:hint="default" w:ascii="仿宋_GB2312" w:hAnsi="仿宋_GB2312" w:eastAsia="仿宋_GB2312" w:cs="仿宋_GB2312"/>
          <w:sz w:val="32"/>
          <w:szCs w:val="32"/>
          <w:lang w:val="en-US" w:eastAsia="zh-CN"/>
        </w:rPr>
        <w:t>,部门预算中反映的财政拨款包括一般公共预算拨款和政府性基金预算拨款。</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（二）一般公共服务（类）市场监督管理事务（款）事业运行（项）：主要用于保障事业单位正常运行、开展日常工作的基本支出。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（三）一般公共服务（类）市场监督管理事务市场监督管理事务（款）其他市场监督管理事务（项）主要用于除上述项目以外其他市场监督管理事务方面的支出。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（四）社会保障和就业（类）行政事业单位养老支出（款）机关事业单位基本养老保险缴费支出（项）：指部门实施养老保险制度由单位缴纳的养老保险的支出。</w:t>
      </w:r>
    </w:p>
    <w:p>
      <w:pPr>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80" w:lineRule="exact"/>
        <w:ind w:firstLine="640" w:firstLineChars="200"/>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（五）社会保障和就业（类）行政事业单位养老支出（款）机关事业单位职业年金缴费支出（项）：指实施养老保险制度由单位缴纳的职业年金的支出。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 xml:space="preserve">六 </w:t>
      </w:r>
      <w:r>
        <w:rPr>
          <w:rFonts w:hint="eastAsia" w:ascii="仿宋_GB2312" w:hAnsi="仿宋_GB2312" w:eastAsia="仿宋_GB2312" w:cs="仿宋_GB2312"/>
          <w:sz w:val="32"/>
          <w:szCs w:val="32"/>
        </w:rPr>
        <w:t>）卫生健康（类）行政事业单位医疗（款）事业单位医疗（项）：指事业单位用于单位应缴纳基本医疗保险支出。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七</w:t>
      </w:r>
      <w:r>
        <w:rPr>
          <w:rFonts w:hint="eastAsia" w:ascii="仿宋_GB2312" w:hAnsi="仿宋_GB2312" w:eastAsia="仿宋_GB2312" w:cs="仿宋_GB2312"/>
          <w:sz w:val="32"/>
          <w:szCs w:val="32"/>
        </w:rPr>
        <w:t>）住房保障（类）住房改革支出（款）住房公积金（项）：指按照《住房公积金管理条例》的规定，由单位及其在职职工缴存的长期住房储金。</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八</w:t>
      </w:r>
      <w:r>
        <w:rPr>
          <w:rFonts w:hint="eastAsia" w:ascii="仿宋_GB2312" w:hAnsi="仿宋_GB2312" w:eastAsia="仿宋_GB2312" w:cs="仿宋_GB2312"/>
          <w:sz w:val="32"/>
          <w:szCs w:val="32"/>
        </w:rPr>
        <w:t>）基本支出：指为保证机构正常运转，完成日常工作任务而发生的人员支出和公用支出。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九</w:t>
      </w:r>
      <w:r>
        <w:rPr>
          <w:rFonts w:hint="eastAsia" w:ascii="仿宋_GB2312" w:hAnsi="仿宋_GB2312" w:eastAsia="仿宋_GB2312" w:cs="仿宋_GB2312"/>
          <w:sz w:val="32"/>
          <w:szCs w:val="32"/>
        </w:rPr>
        <w:t>）项目支出：指在基本支出之外为完成特定检验任务和事业发展目标所发生的支出。</w:t>
      </w:r>
    </w:p>
    <w:p>
      <w:pPr>
        <w:pStyle w:val="10"/>
        <w:widowControl w:val="0"/>
        <w:pBdr>
          <w:top w:val="none" w:color="auto" w:sz="0" w:space="1"/>
          <w:left w:val="none" w:color="auto" w:sz="0" w:space="4"/>
          <w:bottom w:val="none" w:color="auto" w:sz="0" w:space="1"/>
          <w:right w:val="none" w:color="auto" w:sz="0" w:space="4"/>
          <w:between w:val="none" w:color="auto" w:sz="0" w:space="0"/>
        </w:pBdr>
        <w:shd w:val="clear" w:color="auto" w:fill="FFFFFF"/>
        <w:suppressAutoHyphens/>
        <w:spacing w:line="576"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default" w:ascii="仿宋_GB2312" w:hAnsi="仿宋_GB2312" w:eastAsia="仿宋_GB2312" w:cs="仿宋_GB2312"/>
          <w:sz w:val="32"/>
          <w:szCs w:val="32"/>
        </w:rPr>
        <w:t>十</w:t>
      </w:r>
      <w:r>
        <w:rPr>
          <w:rFonts w:hint="eastAsia" w:ascii="仿宋_GB2312" w:hAnsi="仿宋_GB2312" w:eastAsia="仿宋_GB2312" w:cs="仿宋_GB2312"/>
          <w:sz w:val="32"/>
          <w:szCs w:val="32"/>
        </w:rPr>
        <w:t>）“三公”经费：纳入单位预算管理的“三公”经费，是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76" w:lineRule="exact"/>
        <w:ind w:firstLine="640" w:firstLineChars="200"/>
        <w:rPr>
          <w:rFonts w:ascii="仿宋_GB2312" w:hAnsi="仿宋_GB2312" w:eastAsia="仿宋_GB2312" w:cs="仿宋_GB2312"/>
          <w:sz w:val="32"/>
          <w:szCs w:val="32"/>
        </w:rPr>
      </w:pP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default" w:ascii="仿宋_GB2312" w:hAnsi="仿宋_GB2312" w:eastAsia="仿宋_GB2312" w:cs="仿宋_GB2312"/>
          <w:sz w:val="32"/>
          <w:szCs w:val="32"/>
        </w:rPr>
        <w:t>单位</w:t>
      </w:r>
      <w:r>
        <w:rPr>
          <w:rFonts w:hint="eastAsia" w:ascii="仿宋_GB2312" w:hAnsi="仿宋_GB2312" w:eastAsia="仿宋_GB2312" w:cs="仿宋_GB2312"/>
          <w:sz w:val="32"/>
          <w:szCs w:val="32"/>
        </w:rPr>
        <w:t>预算公开表</w:t>
      </w:r>
    </w:p>
    <w:p>
      <w:pPr>
        <w:spacing w:line="576" w:lineRule="exact"/>
        <w:rPr>
          <w:rFonts w:ascii="仿宋_GB2312" w:hAnsi="仿宋_GB2312" w:eastAsia="仿宋_GB2312" w:cs="仿宋_GB2312"/>
          <w:sz w:val="32"/>
          <w:szCs w:val="32"/>
        </w:rPr>
      </w:pPr>
    </w:p>
    <w:sectPr>
      <w:footerReference r:id="rId4" w:type="default"/>
      <w:pgSz w:w="11906" w:h="16838"/>
      <w:pgMar w:top="2098" w:right="1474" w:bottom="1984" w:left="1587" w:header="720" w:footer="1559"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Liberation Sans">
    <w:altName w:val="NanumBarunGothic"/>
    <w:panose1 w:val="020B0604020202020204"/>
    <w:charset w:val="00"/>
    <w:family w:val="swiss"/>
    <w:pitch w:val="default"/>
    <w:sig w:usb0="A00002AF" w:usb1="500078FB" w:usb2="00000000" w:usb3="00000000" w:csb0="6000009F" w:csb1="DFD70000"/>
  </w:font>
  <w:font w:name="NanumBarunGothic">
    <w:panose1 w:val="020B0603020101020101"/>
    <w:charset w:val="81"/>
    <w:family w:val="auto"/>
    <w:pitch w:val="default"/>
    <w:sig w:usb0="800002A7" w:usb1="01D77CFB" w:usb2="00000010" w:usb3="00000000" w:csb0="00080001" w:csb1="00000000"/>
  </w:font>
  <w:font w:name="Noto Sans CJK SC Regular">
    <w:panose1 w:val="020B0500000000000000"/>
    <w:charset w:val="86"/>
    <w:family w:val="auto"/>
    <w:pitch w:val="default"/>
    <w:sig w:usb0="30000003" w:usb1="2BDF3C10" w:usb2="00000016" w:usb3="00000000" w:csb0="602E0107" w:csb1="00000000"/>
  </w:font>
  <w:font w:name="方正小标宋简体">
    <w:panose1 w:val="02000000000000000000"/>
    <w:charset w:val="86"/>
    <w:family w:val="auto"/>
    <w:pitch w:val="default"/>
    <w:sig w:usb0="A00002BF" w:usb1="184F6CFA" w:usb2="00000012" w:usb3="00000000" w:csb0="00040001" w:csb1="00000000"/>
  </w:font>
  <w:font w:name="黑体">
    <w:altName w:val="方正黑体_GBK"/>
    <w:panose1 w:val="02010600030101010101"/>
    <w:charset w:val="00"/>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00"/>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">
              <v:fill on="f" focussize="0,0"/>
              <v:stroke on="f"/>
              <v:imagedata o:title=""/>
              <o:lock v:ext="edit" aspectratio="f"/>
              <v:textbox inset="0mm,0mm,0mm,0mm" style="mso-fit-shape-to-text:t;">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">
              <v:fill on="f" focussize="0,0"/>
              <v:stroke on="f"/>
              <v:imagedata o:title=""/>
              <o:lock v:ext="edit" aspectratio="f"/>
              <v:textbox inset="0mm,0mm,0mm,0mm" style="mso-fit-shape-to-text:t;">
                <w:txbxContent>
                  <w:p>
                    <w:pPr>
                      <w:pStyle w:val="7"/>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FCE1D6"/>
    <w:multiLevelType w:val="singleLevel"/>
    <w:tmpl w:val="5BFCE1D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efaultTabStop w:val="420"/>
  <w:hyphenationZone w:val="360"/>
  <w:drawingGridHorizontalSpacing w:val="1"/>
  <w:drawingGridVerticalSpacing w:val="1"/>
  <w:displayHorizontalDrawingGridEvery w:val="0"/>
  <w:displayVerticalDrawingGridEvery w:val="2"/>
  <w:doNotUseMarginsForDrawingGridOrigin w:val="1"/>
  <w:drawingGridHorizontalOrigin w:val="0"/>
  <w:drawingGridVerticalOrigin w:val="0"/>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zMTU5NmIzMTdiYjAyM2ZjZDg3NzBhMmYyNDA5MDUifQ=="/>
  </w:docVars>
  <w:rsids>
    <w:rsidRoot w:val="004D5364"/>
    <w:rsid w:val="003231EE"/>
    <w:rsid w:val="004D5364"/>
    <w:rsid w:val="00546599"/>
    <w:rsid w:val="00547337"/>
    <w:rsid w:val="012352D1"/>
    <w:rsid w:val="18722EE9"/>
    <w:rsid w:val="1F7BF06F"/>
    <w:rsid w:val="1FEE4B73"/>
    <w:rsid w:val="20B041B1"/>
    <w:rsid w:val="23CE9849"/>
    <w:rsid w:val="271A619D"/>
    <w:rsid w:val="31B13957"/>
    <w:rsid w:val="332A7246"/>
    <w:rsid w:val="34585069"/>
    <w:rsid w:val="39C93F88"/>
    <w:rsid w:val="39F304DD"/>
    <w:rsid w:val="3E7F33BB"/>
    <w:rsid w:val="4772377B"/>
    <w:rsid w:val="54244390"/>
    <w:rsid w:val="54662A63"/>
    <w:rsid w:val="58064E12"/>
    <w:rsid w:val="58FB30A2"/>
    <w:rsid w:val="5AEB24DF"/>
    <w:rsid w:val="5BFEE015"/>
    <w:rsid w:val="63EDCF55"/>
    <w:rsid w:val="63FBFBCF"/>
    <w:rsid w:val="669360FD"/>
    <w:rsid w:val="68FF6A83"/>
    <w:rsid w:val="6FBBC9CF"/>
    <w:rsid w:val="72BDE561"/>
    <w:rsid w:val="757F7D37"/>
    <w:rsid w:val="778F78AC"/>
    <w:rsid w:val="78462278"/>
    <w:rsid w:val="7997EA6C"/>
    <w:rsid w:val="7AEAE675"/>
    <w:rsid w:val="7BAFCE5D"/>
    <w:rsid w:val="7D46598C"/>
    <w:rsid w:val="7DFB240B"/>
    <w:rsid w:val="7E0935ED"/>
    <w:rsid w:val="7EA46DB5"/>
    <w:rsid w:val="7FCF2AF7"/>
    <w:rsid w:val="7FF70394"/>
    <w:rsid w:val="9FEF033D"/>
    <w:rsid w:val="A27FF1E5"/>
    <w:rsid w:val="AFDEB5A7"/>
    <w:rsid w:val="AFEA7FBF"/>
    <w:rsid w:val="B83F4767"/>
    <w:rsid w:val="BF930F07"/>
    <w:rsid w:val="BFCE8436"/>
    <w:rsid w:val="C3F7EB7A"/>
    <w:rsid w:val="CFF5FEEC"/>
    <w:rsid w:val="D3DD9064"/>
    <w:rsid w:val="D6F76A0C"/>
    <w:rsid w:val="D7ECE8D2"/>
    <w:rsid w:val="DFDD4FB5"/>
    <w:rsid w:val="E5EF916A"/>
    <w:rsid w:val="E7F748B5"/>
    <w:rsid w:val="EE5F3713"/>
    <w:rsid w:val="EFC9D62C"/>
    <w:rsid w:val="F37DCF6A"/>
    <w:rsid w:val="F6BE9755"/>
    <w:rsid w:val="F6FFA89B"/>
    <w:rsid w:val="FAE4EFE1"/>
    <w:rsid w:val="FB9B6F12"/>
    <w:rsid w:val="FBB66A4A"/>
    <w:rsid w:val="FBFB9D1D"/>
    <w:rsid w:val="FDEE6989"/>
    <w:rsid w:val="FE7B7DF6"/>
    <w:rsid w:val="FF5E7DB8"/>
    <w:rsid w:val="FF67E813"/>
    <w:rsid w:val="FF77E367"/>
    <w:rsid w:val="FF79E41A"/>
    <w:rsid w:val="FFD576EB"/>
    <w:rsid w:val="FFFBE8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12">
    <w:name w:val="Default Paragraph Font"/>
    <w:unhideWhenUsed/>
    <w:uiPriority w:val="1"/>
  </w:style>
  <w:style w:type="table" w:default="1" w:styleId="11">
    <w:name w:val="Normal Table"/>
    <w:unhideWhenUsed/>
    <w:qFormat/>
    <w:uiPriority w:val="99"/>
    <w:tblPr>
      <w:tblStyle w:val="11"/>
      <w:tblCellMar>
        <w:top w:w="0" w:type="dxa"/>
        <w:left w:w="108" w:type="dxa"/>
        <w:bottom w:w="0" w:type="dxa"/>
        <w:right w:w="108" w:type="dxa"/>
      </w:tblCellMar>
    </w:tblPr>
  </w:style>
  <w:style w:type="paragraph" w:customStyle="1" w:styleId="2">
    <w:name w:val="首行2字符"/>
    <w:basedOn w:val="1"/>
    <w:next w:val="3"/>
    <w:qFormat/>
    <w:uiPriority w:val="9"/>
  </w:style>
  <w:style w:type="paragraph" w:customStyle="1" w:styleId="3">
    <w:name w:val="样式1"/>
    <w:basedOn w:val="1"/>
    <w:qFormat/>
    <w:uiPriority w:val="0"/>
    <w:rPr>
      <w:b/>
      <w:color w:val="538135"/>
      <w:sz w:val="28"/>
    </w:rPr>
  </w:style>
  <w:style w:type="paragraph" w:styleId="4">
    <w:name w:val="index 8"/>
    <w:basedOn w:val="1"/>
    <w:next w:val="1"/>
    <w:qFormat/>
    <w:uiPriority w:val="0"/>
    <w:pPr>
      <w:adjustRightInd w:val="0"/>
      <w:spacing w:line="600" w:lineRule="atLeast"/>
      <w:ind w:left="2940" w:firstLine="883" w:firstLineChars="200"/>
    </w:pPr>
    <w:rPr>
      <w:rFonts w:ascii="Times New Roman" w:hAnsi="Times New Roman"/>
    </w:rPr>
  </w:style>
  <w:style w:type="paragraph" w:styleId="5">
    <w:name w:val="caption"/>
    <w:basedOn w:val="1"/>
    <w:qFormat/>
    <w:uiPriority w:val="0"/>
    <w:pPr>
      <w:suppressLineNumbers/>
      <w:spacing w:before="120" w:after="120"/>
    </w:pPr>
    <w:rPr>
      <w:i/>
      <w:iCs/>
      <w:sz w:val="24"/>
    </w:rPr>
  </w:style>
  <w:style w:type="paragraph" w:styleId="6">
    <w:name w:val="Body Text"/>
    <w:basedOn w:val="1"/>
    <w:next w:val="4"/>
    <w:qFormat/>
    <w:uiPriority w:val="0"/>
    <w:pPr>
      <w:spacing w:after="140" w:line="276" w:lineRule="auto"/>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List"/>
    <w:basedOn w:val="6"/>
    <w:qFormat/>
    <w:uiPriority w:val="0"/>
  </w:style>
  <w:style w:type="paragraph" w:styleId="10">
    <w:name w:val="Normal (Web)"/>
    <w:basedOn w:val="1"/>
    <w:qFormat/>
    <w:uiPriority w:val="0"/>
    <w:rPr>
      <w:sz w:val="24"/>
    </w:rPr>
  </w:style>
  <w:style w:type="character" w:customStyle="1" w:styleId="13">
    <w:name w:val="默认段落字体1"/>
    <w:qFormat/>
    <w:uiPriority w:val="0"/>
  </w:style>
  <w:style w:type="paragraph" w:customStyle="1" w:styleId="14">
    <w:name w:val="Heading"/>
    <w:basedOn w:val="1"/>
    <w:next w:val="6"/>
    <w:qFormat/>
    <w:uiPriority w:val="0"/>
    <w:pPr>
      <w:keepNext/>
      <w:spacing w:before="240" w:after="120"/>
    </w:pPr>
    <w:rPr>
      <w:rFonts w:ascii="Liberation Sans" w:hAnsi="Liberation Sans" w:eastAsia="Noto Sans CJK SC Regular" w:cs="Noto Sans CJK SC Regular"/>
      <w:sz w:val="28"/>
      <w:szCs w:val="28"/>
    </w:rPr>
  </w:style>
  <w:style w:type="paragraph" w:customStyle="1" w:styleId="15">
    <w:name w:val="Index"/>
    <w:basedOn w:val="1"/>
    <w:qFormat/>
    <w:uiPriority w:val="0"/>
    <w:pPr>
      <w:suppressLineNumbers/>
    </w:pPr>
  </w:style>
  <w:style w:type="paragraph" w:customStyle="1" w:styleId="16">
    <w:name w:val="WPSOffice手动目录 1"/>
    <w:uiPriority w:val="0"/>
    <w:pPr>
      <w:ind w:leftChars="0"/>
    </w:pPr>
    <w:rPr>
      <w:sz w:val="20"/>
      <w:szCs w:val="20"/>
    </w:rPr>
  </w:style>
  <w:style w:type="paragraph" w:customStyle="1" w:styleId="17">
    <w:name w:val="WPSOffice手动目录 2"/>
    <w:uiPriority w:val="0"/>
    <w:pPr>
      <w:ind w:leftChars="200"/>
    </w:pPr>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1</Pages>
  <Words>665</Words>
  <Characters>3795</Characters>
  <Lines>1</Lines>
  <Paragraphs>1</Paragraphs>
  <TotalTime>7.66666666666667</TotalTime>
  <ScaleCrop>false</ScaleCrop>
  <LinksUpToDate>false</LinksUpToDate>
  <CharactersWithSpaces>4452</CharactersWithSpaces>
  <Application>WPS Office_11.8.2.1118_F1E327BC-269C-435d-A152-05C5408002CA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2018-12-01T01:47:00Z</dcterms:created>
  <dc:creator>admin</dc:creator>
  <cp:lastModifiedBy>liang</cp:lastModifiedBy>
  <dcterms:modified xsi:type="dcterms:W3CDTF">2024-02-29T15:34:32Z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2052-11.8.2.1118</vt:lpwstr>
  </property>
  <property fmtid="{D5CDD505-2E9C-101B-9397-08002B2CF9AE}" pid="3" name="ICV">
    <vt:lpwstr>6B4C3C6E773D8A1E8833E0656E33B441</vt:lpwstr>
  </property>
</Properties>
</file>