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3"/>
        <w:framePr w:wrap="around"/>
        <w:rPr>
          <w:rFonts w:cs="Times New Roman"/>
          <w:color w:val="auto"/>
        </w:rPr>
      </w:pPr>
      <w:r>
        <w:rPr>
          <w:rFonts w:hint="eastAsia"/>
          <w:color w:val="auto"/>
        </w:rPr>
        <w:t>地理标志保护产品</w:t>
      </w:r>
    </w:p>
    <w:p>
      <w:pPr>
        <w:pStyle w:val="23"/>
        <w:framePr w:wrap="around"/>
        <w:rPr>
          <w:color w:val="auto"/>
        </w:rPr>
      </w:pPr>
      <w:r>
        <w:rPr>
          <w:rFonts w:hint="eastAsia"/>
          <w:color w:val="auto"/>
          <w:sz w:val="52"/>
          <w:szCs w:val="52"/>
        </w:rPr>
        <w:t>利州香菇生产技术规</w:t>
      </w:r>
      <w:r>
        <w:rPr>
          <w:rFonts w:hint="eastAsia"/>
          <w:color w:val="auto"/>
          <w:sz w:val="52"/>
          <w:szCs w:val="52"/>
          <w:lang w:eastAsia="zh-CN"/>
        </w:rPr>
        <w:t>程</w:t>
      </w:r>
    </w:p>
    <w:tbl>
      <w:tblPr>
        <w:tblStyle w:val="7"/>
        <w:tblW w:w="9855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4"/>
              <w:framePr w:wrap="around"/>
              <w:rPr>
                <w:color w:val="auto"/>
                <w:sz w:val="24"/>
                <w:szCs w:val="24"/>
              </w:rPr>
            </w:pPr>
            <w:bookmarkStart w:id="0" w:name="StdEnglishName"/>
            <w:r>
              <w:rPr>
                <w:rFonts w:hint="eastAsia"/>
                <w:color w:val="auto"/>
              </w:rPr>
              <w:t>Product of protected geographical indication</w:t>
            </w:r>
          </w:p>
          <w:bookmarkEnd w:id="0"/>
          <w:p>
            <w:pPr>
              <w:pStyle w:val="25"/>
              <w:framePr w:wrap="around"/>
              <w:spacing w:line="240" w:lineRule="auto"/>
              <w:rPr>
                <w:rFonts w:ascii="Times New Roman" w:eastAsia="黑体"/>
                <w:color w:val="auto"/>
              </w:rPr>
            </w:pPr>
            <w:r>
              <w:rPr>
                <w:rFonts w:hint="eastAsia" w:ascii="Times New Roman" w:eastAsia="黑体"/>
                <w:color w:val="auto"/>
                <w:lang w:val="en-US" w:eastAsia="zh-CN"/>
              </w:rPr>
              <w:t>Technical regulation for</w:t>
            </w:r>
            <w:r>
              <w:rPr>
                <w:rFonts w:hint="eastAsia" w:ascii="Times New Roman" w:eastAsia="黑体"/>
                <w:color w:val="auto"/>
              </w:rPr>
              <w:t xml:space="preserve"> </w:t>
            </w:r>
            <w:r>
              <w:rPr>
                <w:rFonts w:ascii="Times New Roman" w:eastAsia="黑体"/>
                <w:color w:val="auto"/>
              </w:rPr>
              <w:t xml:space="preserve">Lizhou </w:t>
            </w:r>
            <w:r>
              <w:rPr>
                <w:rFonts w:hint="eastAsia" w:ascii="Times New Roman" w:eastAsia="黑体"/>
                <w:color w:val="auto"/>
              </w:rPr>
              <w:t>L</w:t>
            </w:r>
            <w:r>
              <w:rPr>
                <w:rFonts w:ascii="Times New Roman" w:eastAsia="黑体"/>
                <w:color w:val="auto"/>
              </w:rPr>
              <w:t>entin</w:t>
            </w:r>
            <w:r>
              <w:rPr>
                <w:rFonts w:hint="eastAsia" w:ascii="Times New Roman" w:eastAsia="黑体"/>
                <w:color w:val="auto"/>
              </w:rPr>
              <w:t>la</w:t>
            </w:r>
            <w:r>
              <w:rPr>
                <w:rFonts w:ascii="Times New Roman" w:eastAsia="黑体"/>
                <w:color w:val="auto"/>
              </w:rPr>
              <w:t xml:space="preserve"> edodes</w:t>
            </w:r>
            <w:r>
              <w:rPr>
                <w:rFonts w:hint="eastAsia" w:ascii="Times New Roman" w:eastAsia="黑体"/>
                <w:color w:val="auto"/>
                <w:lang w:val="en-US" w:eastAsia="zh-CN"/>
              </w:rPr>
              <w:t xml:space="preserve"> </w:t>
            </w:r>
            <w:r>
              <w:rPr>
                <w:rFonts w:ascii="Times New Roman" w:eastAsia="黑体"/>
                <w:color w:val="auto"/>
              </w:rPr>
              <w:t>production</w:t>
            </w:r>
          </w:p>
          <w:p>
            <w:pPr>
              <w:pStyle w:val="25"/>
              <w:framePr w:wrap="around"/>
              <w:spacing w:line="240" w:lineRule="auto"/>
              <w:rPr>
                <w:rFonts w:cs="Times New Roman"/>
                <w:color w:val="auto"/>
              </w:rPr>
            </w:pPr>
            <w:r>
              <w:rPr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1" layoutInCell="1" allowOverlap="1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0" r="0" b="12700"/>
                      <wp:wrapNone/>
                      <wp:docPr id="2" name="RQ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Q" o:spid="_x0000_s1026" o:spt="1" style="position:absolute;left:0pt;margin-left:173.3pt;margin-top:45.15pt;height:20pt;width:150pt;z-index:-251657216;mso-width-relative:page;mso-height-relative:page;" fillcolor="#FFFFFF" filled="t" stroked="f" coordsize="21600,21600" o:gfxdata="UEsDBAoAAAAAAIdO4kAAAAAAAAAAAAAAAAAEAAAAZHJzL1BLAwQUAAAACACHTuJABYmuktUAAAAK&#10;AQAADwAAAGRycy9kb3ducmV2LnhtbE2PwU7DMAyG70h7h8iTuLFkdESsNN0BaSfgsA2Jq9d4bUWT&#10;lCbdyttjdoGjf3/6/bnYTK4TZxpiG7yB5UKBIF8F2/rawPthe/cIIib0FrvgycA3RdiUs5sCcxsu&#10;fkfnfaoFl/iYo4EmpT6XMlYNOYyL0JPn3SkMDhOPQy3tgBcud528V0pLh63nCw329NxQ9bkfnQHU&#10;K/v1dspeDy+jxnU9qe3DhzLmdr5UTyASTekPhl99VoeSnY5h9DaKzkC20ppRA2uVgWBAX4Mjkxkn&#10;sizk/xfKH1BLAwQUAAAACACHTuJAyXQhqJ4BAABZAwAADgAAAGRycy9lMm9Eb2MueG1srVNNj9Mw&#10;EL0j8R8s36nTikUQNd0DVbkgWFj4Aa5jJ5b8pRm3af89Yyd0YbnsgRyc+fKbeW+S7f3FO3bWgDaG&#10;jq9XDWc6qNjbMHT854/Dm/ecYZahly4G3fGrRn6/e/1qO6VWb+IYXa+BEUjAdkodH3NOrRCoRu0l&#10;rmLSgZImgpeZXBhED3IidO/EpmneiSlCnyAqjUjR/ZzkCyK8BDAaY5XeR3XyOuQZFbSTmSjhaBPy&#10;XZ3WGK3yV2NQZ+Y6TkxzPakJ2cdyit1WtgPINFq1jCBfMsIzTl7aQE1vUHuZJTuB/QfKWwURo8kr&#10;Fb2YiVRFiMW6eabN4yiTrlxIakw30fH/waov5wdgtu/4hrMgPS38+7eiypSwpeRjeoDFQzILxYsB&#10;X940PLtUJa83JfUlM0XB9YfmrmlIZEW5zd3bYhOMeLqdAPMnHT0rRseBNlUFlOfPmOfS3yWlGUZn&#10;+4N1rjowHD86YGdJWz3UZ0H/q8yFUhxiuTYjlogozGYuxTrG/koKnBLYYaRB1hWpZEjxOvHydZSV&#10;/ulXpKc/Yvc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BYmuktUAAAAKAQAADwAAAAAAAAABACAA&#10;AAAiAAAAZHJzL2Rvd25yZXYueG1sUEsBAhQAFAAAAAgAh07iQMl0IaieAQAAWQMAAA4AAAAAAAAA&#10;AQAgAAAAJAEAAGRycy9lMm9Eb2MueG1sUEsFBgAAAAAGAAYAWQEAADQFAAAAAA==&#10;">
                      <v:fill on="t" focussize="0,0"/>
                      <v:stroke on="f"/>
                      <v:imagedata o:title=""/>
                      <o:lock v:ext="edit" aspectratio="f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Times New Roman" w:eastAsia="黑体"/>
                <w:color w:val="auto"/>
                <w:sz w:val="52"/>
                <w:szCs w:val="52"/>
                <w:lang w:val="en-US" w:eastAsia="zh-CN"/>
              </w:rPr>
              <w:t>（草案）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7"/>
              <w:framePr w:wrap="around"/>
              <w:rPr>
                <w:rFonts w:cs="Times New Roman"/>
                <w:color w:val="auto"/>
                <w:sz w:val="72"/>
                <w:szCs w:val="72"/>
              </w:rPr>
            </w:pPr>
          </w:p>
        </w:tc>
      </w:tr>
    </w:tbl>
    <w:p>
      <w:pPr>
        <w:pStyle w:val="18"/>
        <w:rPr>
          <w:rFonts w:hint="eastAsia"/>
          <w:color w:val="auto"/>
        </w:rPr>
        <w:sectPr>
          <w:pgSz w:w="11906" w:h="16838"/>
          <w:pgMar w:top="567" w:right="1134" w:bottom="1134" w:left="1418" w:header="1418" w:footer="1134" w:gutter="0"/>
          <w:pgNumType w:fmt="upperRoman" w:start="1"/>
          <w:cols w:space="425" w:num="1"/>
          <w:formProt w:val="0"/>
          <w:docGrid w:type="lines" w:linePitch="312" w:charSpace="0"/>
        </w:sectPr>
      </w:pPr>
      <w:bookmarkStart w:id="1" w:name="_Toc459742959"/>
      <w:bookmarkStart w:id="2" w:name="_Toc459742587"/>
      <w:bookmarkStart w:id="3" w:name="_Toc459742378"/>
      <w:bookmarkStart w:id="4" w:name="_Toc459741512"/>
    </w:p>
    <w:p>
      <w:pPr>
        <w:pStyle w:val="18"/>
        <w:rPr>
          <w:rFonts w:hint="eastAsia" w:eastAsia="宋体" w:cs="Times New Roman"/>
          <w:color w:val="auto"/>
          <w:lang w:eastAsia="zh-CN"/>
        </w:rPr>
      </w:pPr>
      <w:r>
        <w:rPr>
          <w:rFonts w:hint="eastAsia"/>
          <w:color w:val="auto"/>
        </w:rPr>
        <w:t>目</w:t>
      </w:r>
      <w:bookmarkStart w:id="5" w:name="BKML"/>
      <w:r>
        <w:rPr>
          <w:rFonts w:hint="eastAsia" w:ascii="MS Mincho" w:hAnsi="MS Mincho" w:eastAsia="MS Mincho" w:cs="MS Mincho"/>
          <w:color w:val="auto"/>
        </w:rPr>
        <w:t>  </w:t>
      </w:r>
      <w:bookmarkEnd w:id="5"/>
      <w:r>
        <w:rPr>
          <w:rFonts w:hint="eastAsia" w:eastAsia="宋体"/>
          <w:color w:val="auto"/>
          <w:lang w:eastAsia="zh-CN"/>
        </w:rPr>
        <w:t>录</w:t>
      </w:r>
    </w:p>
    <w:p>
      <w:pPr>
        <w:pStyle w:val="6"/>
        <w:spacing w:before="78" w:after="78"/>
        <w:rPr>
          <w:rFonts w:ascii="Calibri" w:hAnsi="Calibri" w:cs="Calibri"/>
          <w:color w:val="auto"/>
        </w:rPr>
      </w:pPr>
      <w:r>
        <w:rPr>
          <w:color w:val="auto"/>
        </w:rPr>
        <w:fldChar w:fldCharType="begin" w:fldLock="1"/>
      </w:r>
      <w:r>
        <w:rPr>
          <w:color w:val="auto"/>
        </w:rPr>
        <w:instrText xml:space="preserve"> TOC \h \z \t"</w:instrText>
      </w:r>
      <w:r>
        <w:rPr>
          <w:rFonts w:hint="eastAsia"/>
          <w:color w:val="auto"/>
        </w:rPr>
        <w:instrText xml:space="preserve">前言、引言标题</w:instrText>
      </w:r>
      <w:r>
        <w:rPr>
          <w:color w:val="auto"/>
        </w:rPr>
        <w:instrText xml:space="preserve">,1,</w:instrText>
      </w:r>
      <w:r>
        <w:rPr>
          <w:rFonts w:hint="eastAsia"/>
          <w:color w:val="auto"/>
        </w:rPr>
        <w:instrText xml:space="preserve">参考文献、索引标题</w:instrText>
      </w:r>
      <w:r>
        <w:rPr>
          <w:color w:val="auto"/>
        </w:rPr>
        <w:instrText xml:space="preserve">,1,</w:instrText>
      </w:r>
      <w:r>
        <w:rPr>
          <w:rFonts w:hint="eastAsia"/>
          <w:color w:val="auto"/>
        </w:rPr>
        <w:instrText xml:space="preserve">章标题</w:instrText>
      </w:r>
      <w:r>
        <w:rPr>
          <w:color w:val="auto"/>
        </w:rPr>
        <w:instrText xml:space="preserve">,1,</w:instrText>
      </w:r>
      <w:r>
        <w:rPr>
          <w:rFonts w:hint="eastAsia"/>
          <w:color w:val="auto"/>
        </w:rPr>
        <w:instrText xml:space="preserve">参考文献</w:instrText>
      </w:r>
      <w:r>
        <w:rPr>
          <w:color w:val="auto"/>
        </w:rPr>
        <w:instrText xml:space="preserve">,1,</w:instrText>
      </w:r>
      <w:r>
        <w:rPr>
          <w:rFonts w:hint="eastAsia"/>
          <w:color w:val="auto"/>
        </w:rPr>
        <w:instrText xml:space="preserve">附录标识</w:instrText>
      </w:r>
      <w:r>
        <w:rPr>
          <w:color w:val="auto"/>
        </w:rPr>
        <w:instrText xml:space="preserve">,1" \* MERGEFORMAT </w:instrText>
      </w:r>
      <w:r>
        <w:rPr>
          <w:color w:val="auto"/>
        </w:rPr>
        <w:fldChar w:fldCharType="separate"/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\l "_Toc459743069" </w:instrText>
      </w:r>
      <w:r>
        <w:rPr>
          <w:color w:val="auto"/>
        </w:rPr>
        <w:fldChar w:fldCharType="separate"/>
      </w:r>
      <w:r>
        <w:rPr>
          <w:rStyle w:val="9"/>
          <w:rFonts w:hint="eastAsia"/>
          <w:color w:val="auto"/>
        </w:rPr>
        <w:t>前言</w:t>
      </w:r>
      <w:r>
        <w:rPr>
          <w:rFonts w:cs="Times New Roman"/>
          <w:color w:val="auto"/>
        </w:rPr>
        <w:tab/>
      </w:r>
      <w:r>
        <w:rPr>
          <w:color w:val="auto"/>
        </w:rPr>
        <w:fldChar w:fldCharType="begin" w:fldLock="1"/>
      </w:r>
      <w:r>
        <w:rPr>
          <w:color w:val="auto"/>
        </w:rPr>
        <w:instrText xml:space="preserve"> PAGEREF _Toc459743069 \h </w:instrText>
      </w:r>
      <w:r>
        <w:rPr>
          <w:color w:val="auto"/>
        </w:rPr>
        <w:fldChar w:fldCharType="separate"/>
      </w:r>
      <w:r>
        <w:rPr>
          <w:color w:val="auto"/>
        </w:rPr>
        <w:t>II</w:t>
      </w:r>
      <w:r>
        <w:rPr>
          <w:color w:val="auto"/>
        </w:rPr>
        <w:fldChar w:fldCharType="end"/>
      </w:r>
      <w:r>
        <w:rPr>
          <w:color w:val="auto"/>
        </w:rPr>
        <w:fldChar w:fldCharType="end"/>
      </w:r>
    </w:p>
    <w:p>
      <w:pPr>
        <w:pStyle w:val="6"/>
        <w:spacing w:before="78" w:after="78"/>
        <w:rPr>
          <w:rFonts w:ascii="Calibri" w:hAnsi="Calibri" w:cs="Calibri"/>
          <w:color w:val="auto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"_Toc459743070" </w:instrText>
      </w:r>
      <w:r>
        <w:rPr>
          <w:color w:val="auto"/>
        </w:rPr>
        <w:fldChar w:fldCharType="separate"/>
      </w:r>
      <w:r>
        <w:rPr>
          <w:rStyle w:val="9"/>
          <w:color w:val="auto"/>
        </w:rPr>
        <w:t>1</w:t>
      </w:r>
      <w:r>
        <w:rPr>
          <w:rStyle w:val="9"/>
          <w:rFonts w:hint="eastAsia"/>
          <w:color w:val="auto"/>
        </w:rPr>
        <w:t>　范围</w:t>
      </w:r>
      <w:r>
        <w:rPr>
          <w:rFonts w:cs="Times New Roman"/>
          <w:color w:val="auto"/>
        </w:rPr>
        <w:tab/>
      </w:r>
      <w:r>
        <w:rPr>
          <w:color w:val="auto"/>
        </w:rPr>
        <w:fldChar w:fldCharType="begin" w:fldLock="1"/>
      </w:r>
      <w:r>
        <w:rPr>
          <w:color w:val="auto"/>
        </w:rPr>
        <w:instrText xml:space="preserve"> PAGEREF _Toc459743070 \h </w:instrText>
      </w:r>
      <w:r>
        <w:rPr>
          <w:color w:val="auto"/>
        </w:rPr>
        <w:fldChar w:fldCharType="separate"/>
      </w:r>
      <w:r>
        <w:rPr>
          <w:color w:val="auto"/>
        </w:rPr>
        <w:t>1</w:t>
      </w:r>
      <w:r>
        <w:rPr>
          <w:color w:val="auto"/>
        </w:rPr>
        <w:fldChar w:fldCharType="end"/>
      </w:r>
      <w:r>
        <w:rPr>
          <w:color w:val="auto"/>
        </w:rPr>
        <w:fldChar w:fldCharType="end"/>
      </w:r>
    </w:p>
    <w:p>
      <w:pPr>
        <w:pStyle w:val="6"/>
        <w:spacing w:before="78" w:after="78"/>
        <w:rPr>
          <w:rFonts w:ascii="Calibri" w:hAnsi="Calibri" w:cs="Calibri"/>
          <w:color w:val="auto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"_Toc459743071" </w:instrText>
      </w:r>
      <w:r>
        <w:rPr>
          <w:color w:val="auto"/>
        </w:rPr>
        <w:fldChar w:fldCharType="separate"/>
      </w:r>
      <w:r>
        <w:rPr>
          <w:rStyle w:val="9"/>
          <w:color w:val="auto"/>
        </w:rPr>
        <w:t>2</w:t>
      </w:r>
      <w:r>
        <w:rPr>
          <w:rStyle w:val="9"/>
          <w:rFonts w:hint="eastAsia"/>
          <w:color w:val="auto"/>
        </w:rPr>
        <w:t>　规范性引用文件</w:t>
      </w:r>
      <w:r>
        <w:rPr>
          <w:rFonts w:cs="Times New Roman"/>
          <w:color w:val="auto"/>
        </w:rPr>
        <w:tab/>
      </w:r>
      <w:r>
        <w:rPr>
          <w:color w:val="auto"/>
        </w:rPr>
        <w:fldChar w:fldCharType="begin" w:fldLock="1"/>
      </w:r>
      <w:r>
        <w:rPr>
          <w:color w:val="auto"/>
        </w:rPr>
        <w:instrText xml:space="preserve"> PAGEREF _Toc459743071 \h </w:instrText>
      </w:r>
      <w:r>
        <w:rPr>
          <w:color w:val="auto"/>
        </w:rPr>
        <w:fldChar w:fldCharType="separate"/>
      </w:r>
      <w:r>
        <w:rPr>
          <w:color w:val="auto"/>
        </w:rPr>
        <w:t>1</w:t>
      </w:r>
      <w:r>
        <w:rPr>
          <w:color w:val="auto"/>
        </w:rPr>
        <w:fldChar w:fldCharType="end"/>
      </w:r>
      <w:r>
        <w:rPr>
          <w:color w:val="auto"/>
        </w:rPr>
        <w:fldChar w:fldCharType="end"/>
      </w:r>
    </w:p>
    <w:p>
      <w:pPr>
        <w:pStyle w:val="6"/>
        <w:spacing w:before="78" w:after="78"/>
        <w:rPr>
          <w:rFonts w:ascii="Calibri" w:hAnsi="Calibri" w:cs="Calibri"/>
          <w:color w:val="auto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"_Toc459743072" </w:instrText>
      </w:r>
      <w:r>
        <w:rPr>
          <w:color w:val="auto"/>
        </w:rPr>
        <w:fldChar w:fldCharType="separate"/>
      </w:r>
      <w:r>
        <w:rPr>
          <w:rStyle w:val="9"/>
          <w:color w:val="auto"/>
        </w:rPr>
        <w:t>3</w:t>
      </w:r>
      <w:r>
        <w:rPr>
          <w:rStyle w:val="9"/>
          <w:rFonts w:hint="eastAsia"/>
          <w:color w:val="auto"/>
        </w:rPr>
        <w:t>　术语和定义</w:t>
      </w:r>
      <w:r>
        <w:rPr>
          <w:rFonts w:cs="Times New Roman"/>
          <w:color w:val="auto"/>
        </w:rPr>
        <w:tab/>
      </w:r>
      <w:r>
        <w:rPr>
          <w:color w:val="auto"/>
        </w:rPr>
        <w:fldChar w:fldCharType="begin" w:fldLock="1"/>
      </w:r>
      <w:r>
        <w:rPr>
          <w:color w:val="auto"/>
        </w:rPr>
        <w:instrText xml:space="preserve"> PAGEREF _Toc459743072 \h </w:instrText>
      </w:r>
      <w:r>
        <w:rPr>
          <w:color w:val="auto"/>
        </w:rPr>
        <w:fldChar w:fldCharType="separate"/>
      </w:r>
      <w:r>
        <w:rPr>
          <w:color w:val="auto"/>
        </w:rPr>
        <w:t>1</w:t>
      </w:r>
      <w:r>
        <w:rPr>
          <w:color w:val="auto"/>
        </w:rPr>
        <w:fldChar w:fldCharType="end"/>
      </w:r>
      <w:r>
        <w:rPr>
          <w:color w:val="auto"/>
        </w:rPr>
        <w:fldChar w:fldCharType="end"/>
      </w:r>
    </w:p>
    <w:p>
      <w:pPr>
        <w:pStyle w:val="6"/>
        <w:spacing w:before="78" w:after="78"/>
        <w:rPr>
          <w:rFonts w:ascii="Calibri" w:hAnsi="Calibri" w:cs="Calibri"/>
          <w:color w:val="auto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"_Toc459743073" </w:instrText>
      </w:r>
      <w:r>
        <w:rPr>
          <w:color w:val="auto"/>
        </w:rPr>
        <w:fldChar w:fldCharType="separate"/>
      </w:r>
      <w:r>
        <w:rPr>
          <w:rStyle w:val="9"/>
          <w:color w:val="auto"/>
        </w:rPr>
        <w:t>4</w:t>
      </w:r>
      <w:r>
        <w:rPr>
          <w:rStyle w:val="9"/>
          <w:rFonts w:hint="eastAsia"/>
          <w:color w:val="auto"/>
        </w:rPr>
        <w:t>　产地范围</w:t>
      </w:r>
      <w:r>
        <w:rPr>
          <w:rFonts w:cs="Times New Roman"/>
          <w:color w:val="auto"/>
        </w:rPr>
        <w:tab/>
      </w:r>
      <w:r>
        <w:rPr>
          <w:rFonts w:hint="eastAsia"/>
          <w:color w:val="auto"/>
          <w:lang w:val="en-US" w:eastAsia="zh-CN"/>
        </w:rPr>
        <w:t>1</w:t>
      </w:r>
      <w:r>
        <w:rPr>
          <w:color w:val="auto"/>
        </w:rPr>
        <w:fldChar w:fldCharType="end"/>
      </w:r>
    </w:p>
    <w:p>
      <w:pPr>
        <w:pStyle w:val="6"/>
        <w:spacing w:before="78" w:after="78"/>
        <w:rPr>
          <w:rFonts w:ascii="Calibri" w:hAnsi="Calibri" w:cs="Calibri"/>
          <w:color w:val="auto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"_Toc459743074" </w:instrText>
      </w:r>
      <w:r>
        <w:rPr>
          <w:color w:val="auto"/>
        </w:rPr>
        <w:fldChar w:fldCharType="separate"/>
      </w:r>
      <w:r>
        <w:rPr>
          <w:rStyle w:val="9"/>
          <w:color w:val="auto"/>
        </w:rPr>
        <w:t>5</w:t>
      </w:r>
      <w:r>
        <w:rPr>
          <w:rStyle w:val="9"/>
          <w:rFonts w:hint="eastAsia"/>
          <w:color w:val="auto"/>
        </w:rPr>
        <w:t>　环境条件</w:t>
      </w:r>
      <w:r>
        <w:rPr>
          <w:rFonts w:cs="Times New Roman"/>
          <w:color w:val="auto"/>
        </w:rPr>
        <w:tab/>
      </w:r>
      <w:r>
        <w:rPr>
          <w:rFonts w:hint="eastAsia"/>
          <w:color w:val="auto"/>
          <w:lang w:val="en-US" w:eastAsia="zh-CN"/>
        </w:rPr>
        <w:t>1</w:t>
      </w:r>
      <w:r>
        <w:rPr>
          <w:color w:val="auto"/>
        </w:rPr>
        <w:fldChar w:fldCharType="end"/>
      </w:r>
    </w:p>
    <w:p>
      <w:pPr>
        <w:pStyle w:val="6"/>
        <w:spacing w:before="78" w:after="78"/>
        <w:rPr>
          <w:rFonts w:ascii="Calibri" w:hAnsi="Calibri" w:cs="Calibri"/>
          <w:color w:val="auto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"_Toc459743075" </w:instrText>
      </w:r>
      <w:r>
        <w:rPr>
          <w:color w:val="auto"/>
        </w:rPr>
        <w:fldChar w:fldCharType="separate"/>
      </w:r>
      <w:r>
        <w:rPr>
          <w:rStyle w:val="9"/>
          <w:color w:val="auto"/>
        </w:rPr>
        <w:t>6</w:t>
      </w:r>
      <w:r>
        <w:rPr>
          <w:rStyle w:val="9"/>
          <w:rFonts w:hint="eastAsia"/>
          <w:color w:val="auto"/>
        </w:rPr>
        <w:t>　生产技术规范</w:t>
      </w:r>
      <w:r>
        <w:rPr>
          <w:rFonts w:cs="Times New Roman"/>
          <w:color w:val="auto"/>
        </w:rPr>
        <w:tab/>
      </w:r>
      <w:r>
        <w:rPr>
          <w:color w:val="auto"/>
        </w:rPr>
        <w:fldChar w:fldCharType="begin" w:fldLock="1"/>
      </w:r>
      <w:r>
        <w:rPr>
          <w:color w:val="auto"/>
        </w:rPr>
        <w:instrText xml:space="preserve"> PAGEREF _Toc459743075 \h </w:instrText>
      </w:r>
      <w:r>
        <w:rPr>
          <w:color w:val="auto"/>
        </w:rPr>
        <w:fldChar w:fldCharType="separate"/>
      </w:r>
      <w:r>
        <w:rPr>
          <w:color w:val="auto"/>
        </w:rPr>
        <w:t>2</w:t>
      </w:r>
      <w:r>
        <w:rPr>
          <w:color w:val="auto"/>
        </w:rPr>
        <w:fldChar w:fldCharType="end"/>
      </w:r>
      <w:r>
        <w:rPr>
          <w:color w:val="auto"/>
        </w:rPr>
        <w:fldChar w:fldCharType="end"/>
      </w:r>
    </w:p>
    <w:p>
      <w:pPr>
        <w:pStyle w:val="6"/>
        <w:spacing w:before="78" w:after="78"/>
        <w:rPr>
          <w:rFonts w:ascii="Calibri" w:hAnsi="Calibri" w:cs="Calibri"/>
          <w:color w:val="auto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"_Toc459743076" </w:instrText>
      </w:r>
      <w:r>
        <w:rPr>
          <w:color w:val="auto"/>
        </w:rPr>
        <w:fldChar w:fldCharType="separate"/>
      </w:r>
      <w:r>
        <w:rPr>
          <w:rStyle w:val="9"/>
          <w:color w:val="auto"/>
        </w:rPr>
        <w:t>7</w:t>
      </w:r>
      <w:r>
        <w:rPr>
          <w:rStyle w:val="9"/>
          <w:rFonts w:hint="eastAsia"/>
          <w:color w:val="auto"/>
        </w:rPr>
        <w:t>　要求</w:t>
      </w:r>
      <w:r>
        <w:rPr>
          <w:rFonts w:cs="Times New Roman"/>
          <w:color w:val="auto"/>
        </w:rPr>
        <w:tab/>
      </w:r>
      <w:r>
        <w:rPr>
          <w:color w:val="auto"/>
        </w:rPr>
        <w:fldChar w:fldCharType="begin" w:fldLock="1"/>
      </w:r>
      <w:r>
        <w:rPr>
          <w:color w:val="auto"/>
        </w:rPr>
        <w:instrText xml:space="preserve"> PAGEREF _Toc459743076 \h </w:instrText>
      </w:r>
      <w:r>
        <w:rPr>
          <w:color w:val="auto"/>
        </w:rPr>
        <w:fldChar w:fldCharType="separate"/>
      </w:r>
      <w:r>
        <w:rPr>
          <w:color w:val="auto"/>
        </w:rPr>
        <w:t>4</w:t>
      </w:r>
      <w:r>
        <w:rPr>
          <w:color w:val="auto"/>
        </w:rPr>
        <w:fldChar w:fldCharType="end"/>
      </w:r>
      <w:r>
        <w:rPr>
          <w:color w:val="auto"/>
        </w:rPr>
        <w:fldChar w:fldCharType="end"/>
      </w:r>
    </w:p>
    <w:p>
      <w:pPr>
        <w:pStyle w:val="6"/>
        <w:spacing w:before="78" w:after="78"/>
        <w:rPr>
          <w:rFonts w:ascii="Calibri" w:hAnsi="Calibri" w:cs="Calibri"/>
          <w:color w:val="auto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"_Toc459743077" </w:instrText>
      </w:r>
      <w:r>
        <w:rPr>
          <w:color w:val="auto"/>
        </w:rPr>
        <w:fldChar w:fldCharType="separate"/>
      </w:r>
      <w:r>
        <w:rPr>
          <w:rStyle w:val="9"/>
          <w:color w:val="auto"/>
        </w:rPr>
        <w:t>8</w:t>
      </w:r>
      <w:r>
        <w:rPr>
          <w:rStyle w:val="9"/>
          <w:rFonts w:hint="eastAsia"/>
          <w:color w:val="auto"/>
        </w:rPr>
        <w:t>　</w:t>
      </w:r>
      <w:r>
        <w:rPr>
          <w:rStyle w:val="9"/>
          <w:rFonts w:hint="eastAsia"/>
          <w:color w:val="auto"/>
          <w:lang w:eastAsia="zh-CN"/>
        </w:rPr>
        <w:t>标签</w:t>
      </w:r>
      <w:r>
        <w:rPr>
          <w:rFonts w:cs="Times New Roman"/>
          <w:color w:val="auto"/>
        </w:rPr>
        <w:tab/>
      </w:r>
      <w:r>
        <w:rPr>
          <w:color w:val="auto"/>
        </w:rPr>
        <w:fldChar w:fldCharType="begin" w:fldLock="1"/>
      </w:r>
      <w:r>
        <w:rPr>
          <w:color w:val="auto"/>
        </w:rPr>
        <w:instrText xml:space="preserve"> PAGEREF _Toc459743077 \h </w:instrText>
      </w:r>
      <w:r>
        <w:rPr>
          <w:color w:val="auto"/>
        </w:rPr>
        <w:fldChar w:fldCharType="separate"/>
      </w:r>
      <w:r>
        <w:rPr>
          <w:color w:val="auto"/>
        </w:rPr>
        <w:t>5</w:t>
      </w:r>
      <w:r>
        <w:rPr>
          <w:color w:val="auto"/>
        </w:rPr>
        <w:fldChar w:fldCharType="end"/>
      </w:r>
      <w:r>
        <w:rPr>
          <w:color w:val="auto"/>
        </w:rPr>
        <w:fldChar w:fldCharType="end"/>
      </w:r>
    </w:p>
    <w:p>
      <w:pPr>
        <w:pStyle w:val="6"/>
        <w:spacing w:before="78" w:after="78"/>
        <w:rPr>
          <w:rFonts w:ascii="Calibri" w:hAnsi="Calibri" w:cs="Calibri"/>
          <w:color w:val="auto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"_Toc459743078" </w:instrText>
      </w:r>
      <w:r>
        <w:rPr>
          <w:color w:val="auto"/>
        </w:rPr>
        <w:fldChar w:fldCharType="separate"/>
      </w:r>
      <w:r>
        <w:rPr>
          <w:rStyle w:val="9"/>
          <w:color w:val="auto"/>
        </w:rPr>
        <w:t>9</w:t>
      </w:r>
      <w:r>
        <w:rPr>
          <w:rStyle w:val="9"/>
          <w:rFonts w:hint="eastAsia"/>
          <w:color w:val="auto"/>
        </w:rPr>
        <w:t>　</w:t>
      </w:r>
      <w:r>
        <w:rPr>
          <w:rStyle w:val="9"/>
          <w:rFonts w:hint="eastAsia"/>
          <w:color w:val="auto"/>
          <w:lang w:eastAsia="zh-CN"/>
        </w:rPr>
        <w:t>包装、运输和储存</w:t>
      </w:r>
      <w:r>
        <w:rPr>
          <w:rFonts w:cs="Times New Roman"/>
          <w:color w:val="auto"/>
        </w:rPr>
        <w:tab/>
      </w:r>
      <w:r>
        <w:rPr>
          <w:rFonts w:hint="eastAsia"/>
          <w:color w:val="auto"/>
          <w:lang w:val="en-US" w:eastAsia="zh-CN"/>
        </w:rPr>
        <w:t>5</w:t>
      </w:r>
      <w:r>
        <w:rPr>
          <w:color w:val="auto"/>
        </w:rPr>
        <w:fldChar w:fldCharType="end"/>
      </w:r>
    </w:p>
    <w:p>
      <w:pPr>
        <w:pStyle w:val="6"/>
        <w:spacing w:before="78" w:after="78"/>
        <w:rPr>
          <w:rFonts w:ascii="Calibri" w:hAnsi="Calibri" w:cs="Calibri"/>
          <w:color w:val="auto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"_Toc459743081" </w:instrText>
      </w:r>
      <w:r>
        <w:rPr>
          <w:color w:val="auto"/>
        </w:rPr>
        <w:fldChar w:fldCharType="separate"/>
      </w:r>
      <w:r>
        <w:rPr>
          <w:rStyle w:val="9"/>
          <w:rFonts w:hint="eastAsia"/>
          <w:color w:val="auto"/>
        </w:rPr>
        <w:t>附录</w:t>
      </w:r>
      <w:r>
        <w:rPr>
          <w:rStyle w:val="9"/>
          <w:color w:val="auto"/>
        </w:rPr>
        <w:t>A</w:t>
      </w:r>
      <w:r>
        <w:rPr>
          <w:rStyle w:val="9"/>
          <w:rFonts w:hint="eastAsia"/>
          <w:color w:val="auto"/>
        </w:rPr>
        <w:t>（资料性附录）　地理标志保护产品利州香菇保护范围</w:t>
      </w:r>
      <w:r>
        <w:rPr>
          <w:rFonts w:cs="Times New Roman"/>
          <w:color w:val="auto"/>
        </w:rPr>
        <w:tab/>
      </w:r>
      <w:r>
        <w:rPr>
          <w:rFonts w:hint="eastAsia"/>
          <w:color w:val="auto"/>
          <w:lang w:val="en-US" w:eastAsia="zh-CN"/>
        </w:rPr>
        <w:t>7</w:t>
      </w:r>
      <w:r>
        <w:rPr>
          <w:color w:val="auto"/>
        </w:rPr>
        <w:fldChar w:fldCharType="end"/>
      </w:r>
    </w:p>
    <w:p>
      <w:pPr>
        <w:pStyle w:val="11"/>
        <w:rPr>
          <w:rFonts w:cs="Times New Roman"/>
          <w:color w:val="auto"/>
        </w:rPr>
      </w:pPr>
      <w:r>
        <w:rPr>
          <w:color w:val="auto"/>
        </w:rPr>
        <w:fldChar w:fldCharType="end"/>
      </w:r>
      <w:bookmarkStart w:id="6" w:name="BZ"/>
      <w:bookmarkEnd w:id="6"/>
    </w:p>
    <w:p>
      <w:pPr>
        <w:pStyle w:val="40"/>
        <w:rPr>
          <w:rFonts w:cs="Times New Roman"/>
          <w:color w:val="auto"/>
        </w:rPr>
      </w:pPr>
      <w:bookmarkStart w:id="7" w:name="_Toc459743069"/>
      <w:r>
        <w:rPr>
          <w:rFonts w:hint="eastAsia"/>
          <w:color w:val="auto"/>
        </w:rPr>
        <w:t>前</w:t>
      </w:r>
      <w:bookmarkStart w:id="8" w:name="BKQY"/>
      <w:r>
        <w:rPr>
          <w:rFonts w:hint="eastAsia" w:ascii="MS Mincho" w:hAnsi="MS Mincho" w:eastAsia="MS Mincho" w:cs="MS Mincho"/>
          <w:color w:val="auto"/>
        </w:rPr>
        <w:t>  </w:t>
      </w:r>
      <w:r>
        <w:rPr>
          <w:rFonts w:hint="eastAsia"/>
          <w:color w:val="auto"/>
        </w:rPr>
        <w:t>言</w:t>
      </w:r>
      <w:bookmarkEnd w:id="1"/>
      <w:bookmarkEnd w:id="2"/>
      <w:bookmarkEnd w:id="3"/>
      <w:bookmarkEnd w:id="4"/>
      <w:bookmarkEnd w:id="7"/>
      <w:bookmarkEnd w:id="8"/>
    </w:p>
    <w:p>
      <w:pPr>
        <w:ind w:firstLine="420" w:firstLineChars="200"/>
        <w:rPr>
          <w:color w:val="auto"/>
        </w:rPr>
      </w:pPr>
      <w:r>
        <w:rPr>
          <w:rFonts w:hint="eastAsia" w:cs="宋体"/>
          <w:color w:val="auto"/>
        </w:rPr>
        <w:t>本标准为地理标志保护产品利州香菇生产地方标准，为利州区组织利州香菇生产的依据。</w:t>
      </w:r>
    </w:p>
    <w:p>
      <w:pPr>
        <w:ind w:firstLine="420" w:firstLineChars="200"/>
        <w:rPr>
          <w:color w:val="auto"/>
        </w:rPr>
      </w:pPr>
      <w:r>
        <w:rPr>
          <w:rFonts w:hint="eastAsia" w:cs="宋体"/>
          <w:color w:val="auto"/>
        </w:rPr>
        <w:t>本标准按</w:t>
      </w:r>
      <w:r>
        <w:rPr>
          <w:rFonts w:hint="eastAsia" w:hAnsi="宋体"/>
          <w:color w:val="auto"/>
          <w:szCs w:val="21"/>
        </w:rPr>
        <w:t>GB/T1.1-20</w:t>
      </w:r>
      <w:r>
        <w:rPr>
          <w:rFonts w:hint="eastAsia" w:hAnsi="宋体"/>
          <w:color w:val="auto"/>
          <w:szCs w:val="21"/>
          <w:lang w:val="en-US" w:eastAsia="zh-CN"/>
        </w:rPr>
        <w:t>20</w:t>
      </w:r>
      <w:r>
        <w:rPr>
          <w:rFonts w:hint="eastAsia" w:cs="宋体"/>
          <w:color w:val="auto"/>
        </w:rPr>
        <w:t>《标准化工作导则</w:t>
      </w:r>
      <w:r>
        <w:rPr>
          <w:color w:val="auto"/>
        </w:rPr>
        <w:t xml:space="preserve"> </w:t>
      </w:r>
      <w:r>
        <w:rPr>
          <w:rFonts w:hint="eastAsia" w:cs="宋体"/>
          <w:color w:val="auto"/>
        </w:rPr>
        <w:t>第</w:t>
      </w:r>
      <w:r>
        <w:rPr>
          <w:color w:val="auto"/>
        </w:rPr>
        <w:t>1</w:t>
      </w:r>
      <w:r>
        <w:rPr>
          <w:rFonts w:hint="eastAsia" w:cs="宋体"/>
          <w:color w:val="auto"/>
        </w:rPr>
        <w:t>部份：标准的结构和编写规则》和《地理标志产品保护规定》进行编制。</w:t>
      </w:r>
    </w:p>
    <w:p>
      <w:pPr>
        <w:ind w:firstLine="420" w:firstLineChars="200"/>
        <w:rPr>
          <w:color w:val="auto"/>
        </w:rPr>
      </w:pPr>
      <w:r>
        <w:rPr>
          <w:rFonts w:hint="eastAsia" w:cs="宋体"/>
          <w:color w:val="auto"/>
        </w:rPr>
        <w:t>本标准的附录</w:t>
      </w:r>
      <w:r>
        <w:rPr>
          <w:color w:val="auto"/>
        </w:rPr>
        <w:t>A</w:t>
      </w:r>
      <w:r>
        <w:rPr>
          <w:rFonts w:hint="eastAsia" w:cs="宋体"/>
          <w:color w:val="auto"/>
        </w:rPr>
        <w:t>为资料性附录。</w:t>
      </w:r>
    </w:p>
    <w:p>
      <w:pPr>
        <w:ind w:firstLine="420" w:firstLineChars="200"/>
        <w:rPr>
          <w:color w:val="auto"/>
        </w:rPr>
      </w:pPr>
      <w:r>
        <w:rPr>
          <w:rFonts w:hint="eastAsia" w:cs="宋体"/>
          <w:color w:val="auto"/>
        </w:rPr>
        <w:t>本标准广元市利州区</w:t>
      </w:r>
      <w:r>
        <w:rPr>
          <w:rFonts w:hint="eastAsia" w:cs="宋体"/>
          <w:color w:val="auto"/>
          <w:lang w:eastAsia="zh-CN"/>
        </w:rPr>
        <w:t>林业局和广元市利州区市场监督管理局</w:t>
      </w:r>
      <w:r>
        <w:rPr>
          <w:rFonts w:hint="eastAsia" w:cs="宋体"/>
          <w:color w:val="auto"/>
        </w:rPr>
        <w:t>提出并归口。</w:t>
      </w:r>
    </w:p>
    <w:p>
      <w:pPr>
        <w:ind w:firstLine="420" w:firstLineChars="200"/>
        <w:rPr>
          <w:rFonts w:cs="宋体"/>
          <w:color w:val="auto"/>
        </w:rPr>
      </w:pPr>
      <w:r>
        <w:rPr>
          <w:rFonts w:hint="eastAsia" w:cs="宋体"/>
          <w:color w:val="auto"/>
        </w:rPr>
        <w:t>本标准主要起草单位：广元市利州区林业局、广元市利州区市场监督管理局</w:t>
      </w:r>
      <w:r>
        <w:rPr>
          <w:rFonts w:hint="eastAsia" w:cs="宋体"/>
          <w:color w:val="auto"/>
          <w:lang w:eastAsia="zh-CN"/>
        </w:rPr>
        <w:t>、广元市林业局</w:t>
      </w:r>
      <w:r>
        <w:rPr>
          <w:rFonts w:hint="eastAsia" w:cs="宋体"/>
          <w:color w:val="auto"/>
        </w:rPr>
        <w:t>。</w:t>
      </w:r>
    </w:p>
    <w:p>
      <w:pPr>
        <w:ind w:firstLine="420" w:firstLineChars="200"/>
        <w:rPr>
          <w:color w:val="auto"/>
        </w:rPr>
      </w:pPr>
      <w:r>
        <w:rPr>
          <w:rFonts w:hint="eastAsia" w:cs="宋体"/>
          <w:color w:val="auto"/>
        </w:rPr>
        <w:t>本标准主要起草人：周修涛 但汉龙</w:t>
      </w:r>
      <w:r>
        <w:rPr>
          <w:rFonts w:hint="eastAsia" w:cs="宋体"/>
          <w:color w:val="auto"/>
          <w:lang w:val="en-US" w:eastAsia="zh-CN"/>
        </w:rPr>
        <w:t xml:space="preserve"> 陈蓉 王磊  邓阳川 </w:t>
      </w:r>
      <w:r>
        <w:rPr>
          <w:rFonts w:hint="eastAsia" w:cs="宋体"/>
          <w:color w:val="auto"/>
        </w:rPr>
        <w:t>张忠荣</w:t>
      </w:r>
      <w:r>
        <w:rPr>
          <w:rFonts w:hint="eastAsia" w:cs="宋体"/>
          <w:color w:val="auto"/>
          <w:lang w:val="en-US" w:eastAsia="zh-CN"/>
        </w:rPr>
        <w:t xml:space="preserve"> 何晓蓉  </w:t>
      </w:r>
      <w:r>
        <w:rPr>
          <w:rFonts w:hint="eastAsia" w:cs="宋体"/>
          <w:color w:val="auto"/>
        </w:rPr>
        <w:t>李永军 邢静芝　何昌碧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本标准为首次发布。</w:t>
      </w:r>
    </w:p>
    <w:p>
      <w:pPr>
        <w:pStyle w:val="11"/>
        <w:rPr>
          <w:rFonts w:cs="Times New Roman"/>
          <w:color w:val="auto"/>
        </w:rPr>
        <w:sectPr>
          <w:footerReference r:id="rId3" w:type="default"/>
          <w:pgSz w:w="11906" w:h="16838"/>
          <w:pgMar w:top="567" w:right="1134" w:bottom="1134" w:left="1418" w:header="1418" w:footer="1134" w:gutter="0"/>
          <w:pgNumType w:fmt="upperRoman" w:start="1"/>
          <w:cols w:space="425" w:num="1"/>
          <w:formProt w:val="0"/>
          <w:docGrid w:type="lines" w:linePitch="312" w:charSpace="0"/>
        </w:sectPr>
      </w:pPr>
    </w:p>
    <w:p>
      <w:pPr>
        <w:pStyle w:val="18"/>
        <w:rPr>
          <w:rFonts w:cs="Times New Roman"/>
          <w:color w:val="auto"/>
        </w:rPr>
      </w:pPr>
      <w:r>
        <w:rPr>
          <w:rFonts w:hint="eastAsia"/>
          <w:color w:val="auto"/>
        </w:rPr>
        <w:t>地理标志保护产品　利州香菇生产技术规</w:t>
      </w:r>
      <w:r>
        <w:rPr>
          <w:rFonts w:hint="eastAsia"/>
          <w:color w:val="auto"/>
          <w:lang w:eastAsia="zh-CN"/>
        </w:rPr>
        <w:t>程</w:t>
      </w:r>
      <w:r>
        <w:rPr>
          <w:rFonts w:cs="Times New Roman"/>
          <w:color w:val="auto"/>
        </w:rPr>
        <w:t>     </w:t>
      </w:r>
    </w:p>
    <w:p>
      <w:pPr>
        <w:pStyle w:val="16"/>
        <w:spacing w:before="312" w:after="312"/>
        <w:rPr>
          <w:rFonts w:cs="Times New Roman"/>
          <w:color w:val="auto"/>
        </w:rPr>
      </w:pPr>
      <w:bookmarkStart w:id="9" w:name="_Toc459742960"/>
      <w:bookmarkStart w:id="10" w:name="_Toc459742588"/>
      <w:bookmarkStart w:id="11" w:name="_Toc459742379"/>
      <w:bookmarkStart w:id="12" w:name="_Toc459740756"/>
      <w:bookmarkStart w:id="13" w:name="_Toc459741513"/>
      <w:bookmarkStart w:id="14" w:name="_Toc459743070"/>
      <w:r>
        <w:rPr>
          <w:rFonts w:hint="eastAsia"/>
          <w:color w:val="auto"/>
        </w:rPr>
        <w:t>范围</w:t>
      </w:r>
      <w:bookmarkEnd w:id="9"/>
      <w:bookmarkEnd w:id="10"/>
      <w:bookmarkEnd w:id="11"/>
      <w:bookmarkEnd w:id="12"/>
      <w:bookmarkEnd w:id="13"/>
      <w:bookmarkEnd w:id="14"/>
    </w:p>
    <w:p>
      <w:pPr>
        <w:pStyle w:val="11"/>
        <w:rPr>
          <w:rFonts w:cs="Times New Roman"/>
          <w:color w:val="auto"/>
        </w:rPr>
      </w:pPr>
      <w:bookmarkStart w:id="15" w:name="_Toc459737900"/>
      <w:bookmarkStart w:id="16" w:name="_Toc459739736"/>
      <w:r>
        <w:rPr>
          <w:rFonts w:hint="eastAsia"/>
          <w:color w:val="auto"/>
        </w:rPr>
        <w:t>本标准规定了地理标志保护利州香菇的术语和定义、产地范围、环境条件、生产技术规范、要求、标签、包装、运输和贮存等。</w:t>
      </w:r>
      <w:bookmarkEnd w:id="15"/>
      <w:bookmarkEnd w:id="16"/>
    </w:p>
    <w:p>
      <w:pPr>
        <w:pStyle w:val="11"/>
        <w:rPr>
          <w:rFonts w:cs="Times New Roman"/>
          <w:color w:val="auto"/>
        </w:rPr>
      </w:pPr>
      <w:bookmarkStart w:id="17" w:name="_Toc459737901"/>
      <w:bookmarkStart w:id="18" w:name="_Toc459739737"/>
      <w:r>
        <w:rPr>
          <w:rFonts w:hint="eastAsia"/>
          <w:color w:val="auto"/>
        </w:rPr>
        <w:t>本标准适用于广元市利州区地理标志保护利州香菇的生产管理。</w:t>
      </w:r>
      <w:bookmarkEnd w:id="17"/>
      <w:bookmarkEnd w:id="18"/>
    </w:p>
    <w:p>
      <w:pPr>
        <w:pStyle w:val="16"/>
        <w:spacing w:before="312" w:after="312"/>
        <w:rPr>
          <w:rFonts w:cs="Times New Roman"/>
          <w:color w:val="auto"/>
        </w:rPr>
      </w:pPr>
      <w:bookmarkStart w:id="19" w:name="_Toc459742380"/>
      <w:bookmarkStart w:id="20" w:name="_Toc459740757"/>
      <w:bookmarkStart w:id="21" w:name="_Toc459742589"/>
      <w:bookmarkStart w:id="22" w:name="_Toc459742961"/>
      <w:bookmarkStart w:id="23" w:name="_Toc459743071"/>
      <w:bookmarkStart w:id="24" w:name="_Toc459741514"/>
      <w:r>
        <w:rPr>
          <w:rFonts w:hint="eastAsia"/>
          <w:color w:val="auto"/>
        </w:rPr>
        <w:t>规范性引用文件</w:t>
      </w:r>
      <w:bookmarkEnd w:id="19"/>
      <w:bookmarkEnd w:id="20"/>
      <w:bookmarkEnd w:id="21"/>
      <w:bookmarkEnd w:id="22"/>
      <w:bookmarkEnd w:id="23"/>
      <w:bookmarkEnd w:id="24"/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>
      <w:pPr>
        <w:ind w:firstLine="420" w:firstLineChars="200"/>
        <w:rPr>
          <w:rFonts w:ascii="宋体"/>
          <w:color w:val="auto"/>
        </w:rPr>
      </w:pPr>
      <w:r>
        <w:rPr>
          <w:rFonts w:ascii="宋体" w:hAnsi="宋体" w:cs="宋体"/>
          <w:color w:val="auto"/>
        </w:rPr>
        <w:t>GB/T 191</w:t>
      </w:r>
      <w:r>
        <w:rPr>
          <w:rFonts w:hint="eastAsia" w:ascii="宋体" w:hAnsi="宋体" w:cs="宋体"/>
          <w:color w:val="auto"/>
          <w:lang w:val="en-US" w:eastAsia="zh-CN"/>
        </w:rPr>
        <w:t>-2008</w:t>
      </w:r>
      <w:r>
        <w:rPr>
          <w:rFonts w:ascii="宋体" w:hAnsi="宋体" w:cs="宋体"/>
          <w:color w:val="auto"/>
        </w:rPr>
        <w:t xml:space="preserve">    </w:t>
      </w:r>
      <w:r>
        <w:rPr>
          <w:rFonts w:hint="eastAsia" w:ascii="宋体" w:hAnsi="宋体" w:cs="宋体"/>
          <w:color w:val="auto"/>
        </w:rPr>
        <w:t>包装储运图示标志</w:t>
      </w:r>
    </w:p>
    <w:p>
      <w:pPr>
        <w:ind w:firstLine="420" w:firstLineChars="200"/>
        <w:rPr>
          <w:rFonts w:ascii="宋体" w:hAnsi="宋体" w:cs="宋体"/>
          <w:color w:val="auto"/>
        </w:rPr>
      </w:pPr>
      <w:r>
        <w:rPr>
          <w:rFonts w:ascii="宋体" w:hAnsi="宋体" w:cs="宋体"/>
          <w:color w:val="auto"/>
        </w:rPr>
        <w:t>GB 4285</w:t>
      </w:r>
      <w:r>
        <w:rPr>
          <w:rFonts w:hint="eastAsia" w:ascii="宋体" w:hAnsi="宋体" w:cs="宋体"/>
          <w:color w:val="auto"/>
          <w:lang w:val="en-US" w:eastAsia="zh-CN"/>
        </w:rPr>
        <w:t>-89</w:t>
      </w:r>
      <w:r>
        <w:rPr>
          <w:rFonts w:ascii="宋体" w:hAnsi="宋体" w:cs="宋体"/>
          <w:color w:val="auto"/>
        </w:rPr>
        <w:t xml:space="preserve">  </w:t>
      </w:r>
      <w:r>
        <w:rPr>
          <w:rFonts w:hint="eastAsia" w:ascii="宋体" w:hAnsi="宋体" w:cs="宋体"/>
          <w:color w:val="auto"/>
          <w:lang w:val="en-US" w:eastAsia="zh-CN"/>
        </w:rPr>
        <w:t xml:space="preserve">    </w:t>
      </w:r>
      <w:r>
        <w:rPr>
          <w:rFonts w:ascii="宋体" w:hAnsi="宋体" w:cs="宋体"/>
          <w:color w:val="auto"/>
        </w:rPr>
        <w:t xml:space="preserve"> </w:t>
      </w:r>
      <w:r>
        <w:rPr>
          <w:rFonts w:hint="eastAsia" w:ascii="宋体" w:hAnsi="宋体" w:cs="宋体"/>
          <w:color w:val="auto"/>
        </w:rPr>
        <w:t>农药安全使用标准</w:t>
      </w:r>
      <w:r>
        <w:rPr>
          <w:rFonts w:ascii="宋体" w:hAnsi="宋体" w:cs="宋体"/>
          <w:color w:val="auto"/>
        </w:rPr>
        <w:t xml:space="preserve"> </w:t>
      </w:r>
    </w:p>
    <w:p>
      <w:pPr>
        <w:ind w:firstLine="420" w:firstLineChars="200"/>
        <w:rPr>
          <w:rFonts w:ascii="宋体"/>
          <w:color w:val="auto"/>
        </w:rPr>
      </w:pPr>
      <w:r>
        <w:rPr>
          <w:rFonts w:ascii="宋体" w:hAnsi="宋体" w:cs="宋体"/>
          <w:color w:val="auto"/>
        </w:rPr>
        <w:t>GB 7096</w:t>
      </w:r>
      <w:r>
        <w:rPr>
          <w:rFonts w:hint="eastAsia" w:ascii="宋体" w:hAnsi="宋体" w:cs="宋体"/>
          <w:color w:val="auto"/>
          <w:lang w:val="en-US" w:eastAsia="zh-CN"/>
        </w:rPr>
        <w:t>-2003</w:t>
      </w:r>
      <w:r>
        <w:rPr>
          <w:rFonts w:ascii="宋体" w:hAnsi="宋体" w:cs="宋体"/>
          <w:color w:val="auto"/>
        </w:rPr>
        <w:t xml:space="preserve">     </w:t>
      </w:r>
      <w:r>
        <w:rPr>
          <w:rFonts w:hint="eastAsia" w:ascii="宋体" w:hAnsi="宋体" w:cs="宋体"/>
          <w:color w:val="auto"/>
        </w:rPr>
        <w:t>食用菌卫生标准</w:t>
      </w:r>
    </w:p>
    <w:p>
      <w:pPr>
        <w:ind w:firstLine="420" w:firstLineChars="200"/>
        <w:rPr>
          <w:rFonts w:ascii="宋体"/>
          <w:color w:val="auto"/>
        </w:rPr>
      </w:pPr>
      <w:r>
        <w:rPr>
          <w:rFonts w:ascii="宋体" w:hAnsi="宋体" w:cs="宋体"/>
          <w:color w:val="auto"/>
        </w:rPr>
        <w:t>GB 7718</w:t>
      </w:r>
      <w:r>
        <w:rPr>
          <w:rFonts w:hint="eastAsia" w:ascii="宋体" w:hAnsi="宋体" w:cs="宋体"/>
          <w:color w:val="auto"/>
          <w:lang w:val="en-US" w:eastAsia="zh-CN"/>
        </w:rPr>
        <w:t>-2011</w:t>
      </w:r>
      <w:r>
        <w:rPr>
          <w:rFonts w:ascii="宋体" w:hAnsi="宋体" w:cs="宋体"/>
          <w:color w:val="auto"/>
        </w:rPr>
        <w:t xml:space="preserve">     </w:t>
      </w:r>
      <w:r>
        <w:rPr>
          <w:rFonts w:hint="eastAsia" w:ascii="宋体" w:hAnsi="宋体" w:cs="宋体"/>
          <w:color w:val="auto"/>
        </w:rPr>
        <w:t>预包装食品标签通则</w:t>
      </w:r>
    </w:p>
    <w:p>
      <w:pPr>
        <w:ind w:firstLine="420" w:firstLineChars="200"/>
        <w:rPr>
          <w:rFonts w:ascii="宋体" w:hAnsi="宋体" w:cs="宋体"/>
          <w:color w:val="auto"/>
        </w:rPr>
      </w:pPr>
      <w:r>
        <w:rPr>
          <w:rFonts w:ascii="宋体" w:hAnsi="宋体" w:cs="宋体"/>
          <w:color w:val="auto"/>
        </w:rPr>
        <w:t>GB/T 8321</w:t>
      </w:r>
      <w:r>
        <w:rPr>
          <w:rFonts w:hint="eastAsia" w:ascii="宋体" w:hAnsi="宋体" w:cs="宋体"/>
          <w:color w:val="auto"/>
          <w:lang w:val="en-US" w:eastAsia="zh-CN"/>
        </w:rPr>
        <w:t>-2018</w:t>
      </w:r>
      <w:r>
        <w:rPr>
          <w:rFonts w:ascii="宋体" w:hAnsi="宋体" w:cs="宋体"/>
          <w:color w:val="auto"/>
        </w:rPr>
        <w:t xml:space="preserve">   </w:t>
      </w:r>
      <w:r>
        <w:rPr>
          <w:rFonts w:hint="eastAsia" w:ascii="宋体" w:hAnsi="宋体" w:cs="宋体"/>
          <w:color w:val="auto"/>
        </w:rPr>
        <w:t>农药合理使用准则</w:t>
      </w:r>
      <w:r>
        <w:rPr>
          <w:rFonts w:ascii="宋体" w:hAnsi="宋体" w:cs="宋体"/>
          <w:color w:val="auto"/>
        </w:rPr>
        <w:t xml:space="preserve"> </w:t>
      </w:r>
    </w:p>
    <w:p>
      <w:pPr>
        <w:ind w:firstLine="420" w:firstLineChars="200"/>
        <w:rPr>
          <w:rFonts w:ascii="宋体"/>
          <w:color w:val="auto"/>
        </w:rPr>
      </w:pPr>
      <w:r>
        <w:rPr>
          <w:rFonts w:ascii="宋体" w:hAnsi="宋体" w:cs="宋体"/>
          <w:color w:val="auto"/>
        </w:rPr>
        <w:t>GB 9687</w:t>
      </w:r>
      <w:r>
        <w:rPr>
          <w:rFonts w:hint="eastAsia" w:ascii="宋体" w:hAnsi="宋体" w:cs="宋体"/>
          <w:color w:val="auto"/>
          <w:lang w:val="en-US" w:eastAsia="zh-CN"/>
        </w:rPr>
        <w:t>-1988</w:t>
      </w:r>
      <w:r>
        <w:rPr>
          <w:rFonts w:ascii="宋体" w:hAnsi="宋体" w:cs="宋体"/>
          <w:color w:val="auto"/>
        </w:rPr>
        <w:t xml:space="preserve">     </w:t>
      </w:r>
      <w:r>
        <w:rPr>
          <w:rFonts w:hint="eastAsia" w:ascii="宋体" w:hAnsi="宋体" w:cs="宋体"/>
          <w:color w:val="auto"/>
        </w:rPr>
        <w:t>食品包装用聚乙烯成型品卫生标准</w:t>
      </w:r>
    </w:p>
    <w:p>
      <w:pPr>
        <w:ind w:firstLine="420" w:firstLineChars="200"/>
        <w:rPr>
          <w:rFonts w:ascii="宋体"/>
          <w:color w:val="auto"/>
        </w:rPr>
      </w:pPr>
      <w:r>
        <w:rPr>
          <w:rFonts w:ascii="宋体" w:hAnsi="宋体" w:cs="宋体"/>
          <w:color w:val="auto"/>
        </w:rPr>
        <w:t>GB 19170</w:t>
      </w:r>
      <w:r>
        <w:rPr>
          <w:rFonts w:hint="eastAsia" w:ascii="宋体" w:hAnsi="宋体" w:cs="宋体"/>
          <w:color w:val="auto"/>
          <w:lang w:val="en-US" w:eastAsia="zh-CN"/>
        </w:rPr>
        <w:t>-2003</w:t>
      </w:r>
      <w:r>
        <w:rPr>
          <w:rFonts w:ascii="宋体" w:hAnsi="宋体" w:cs="宋体"/>
          <w:color w:val="auto"/>
        </w:rPr>
        <w:t xml:space="preserve">    </w:t>
      </w:r>
      <w:r>
        <w:rPr>
          <w:rFonts w:hint="eastAsia" w:ascii="宋体" w:hAnsi="宋体" w:cs="宋体"/>
          <w:color w:val="auto"/>
        </w:rPr>
        <w:t>香菇菌种</w:t>
      </w:r>
    </w:p>
    <w:p>
      <w:pPr>
        <w:ind w:firstLine="420" w:firstLineChars="200"/>
        <w:rPr>
          <w:rFonts w:ascii="宋体"/>
          <w:color w:val="auto"/>
        </w:rPr>
      </w:pPr>
      <w:r>
        <w:rPr>
          <w:rFonts w:ascii="宋体" w:hAnsi="宋体" w:cs="宋体"/>
          <w:color w:val="auto"/>
        </w:rPr>
        <w:t>GH/T 1013</w:t>
      </w:r>
      <w:r>
        <w:rPr>
          <w:rFonts w:hint="eastAsia" w:ascii="宋体" w:hAnsi="宋体" w:cs="宋体"/>
          <w:color w:val="auto"/>
          <w:lang w:val="en-US" w:eastAsia="zh-CN"/>
        </w:rPr>
        <w:t>-2015</w:t>
      </w:r>
      <w:r>
        <w:rPr>
          <w:rFonts w:ascii="宋体" w:hAnsi="宋体" w:cs="宋体"/>
          <w:color w:val="auto"/>
        </w:rPr>
        <w:t xml:space="preserve">  </w:t>
      </w:r>
      <w:r>
        <w:rPr>
          <w:rFonts w:hint="eastAsia" w:ascii="宋体" w:hAnsi="宋体" w:cs="宋体"/>
          <w:color w:val="auto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</w:rPr>
        <w:t>香菇</w:t>
      </w:r>
    </w:p>
    <w:p>
      <w:pPr>
        <w:ind w:firstLine="420" w:firstLineChars="200"/>
        <w:rPr>
          <w:rFonts w:ascii="宋体"/>
          <w:color w:val="auto"/>
        </w:rPr>
      </w:pPr>
      <w:r>
        <w:rPr>
          <w:rFonts w:ascii="宋体" w:hAnsi="宋体" w:cs="宋体"/>
          <w:color w:val="auto"/>
        </w:rPr>
        <w:t>NY 5099</w:t>
      </w:r>
      <w:r>
        <w:rPr>
          <w:rFonts w:hint="eastAsia" w:ascii="宋体" w:hAnsi="宋体" w:cs="宋体"/>
          <w:color w:val="auto"/>
          <w:lang w:val="en-US" w:eastAsia="zh-CN"/>
        </w:rPr>
        <w:t>-2002</w:t>
      </w:r>
      <w:r>
        <w:rPr>
          <w:rFonts w:ascii="宋体" w:hAnsi="宋体" w:cs="宋体"/>
          <w:color w:val="auto"/>
        </w:rPr>
        <w:t xml:space="preserve">   </w:t>
      </w:r>
      <w:r>
        <w:rPr>
          <w:rFonts w:hint="eastAsia" w:ascii="宋体" w:hAnsi="宋体" w:cs="宋体"/>
          <w:color w:val="auto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</w:rPr>
        <w:t>无公害食品</w:t>
      </w:r>
      <w:r>
        <w:rPr>
          <w:rFonts w:ascii="宋体" w:hAnsi="宋体" w:cs="宋体"/>
          <w:color w:val="auto"/>
        </w:rPr>
        <w:t xml:space="preserve"> </w:t>
      </w:r>
      <w:r>
        <w:rPr>
          <w:rFonts w:hint="eastAsia" w:ascii="宋体" w:hAnsi="宋体" w:cs="宋体"/>
          <w:color w:val="auto"/>
        </w:rPr>
        <w:t>食用菌栽培基质安全技术要求</w:t>
      </w:r>
    </w:p>
    <w:p>
      <w:pPr>
        <w:pStyle w:val="11"/>
        <w:rPr>
          <w:rFonts w:hAnsi="宋体" w:cs="Times New Roman"/>
          <w:color w:val="auto"/>
        </w:rPr>
      </w:pPr>
      <w:r>
        <w:rPr>
          <w:rFonts w:hAnsi="宋体"/>
          <w:color w:val="auto"/>
        </w:rPr>
        <w:t>JJF 1070</w:t>
      </w:r>
      <w:r>
        <w:rPr>
          <w:rFonts w:hint="eastAsia" w:hAnsi="宋体"/>
          <w:color w:val="auto"/>
          <w:lang w:val="en-US" w:eastAsia="zh-CN"/>
        </w:rPr>
        <w:t>-2005</w:t>
      </w:r>
      <w:r>
        <w:rPr>
          <w:rFonts w:hAnsi="宋体"/>
          <w:color w:val="auto"/>
        </w:rPr>
        <w:t xml:space="preserve">    </w:t>
      </w:r>
      <w:r>
        <w:rPr>
          <w:rFonts w:hint="eastAsia" w:hAnsi="宋体"/>
          <w:color w:val="auto"/>
        </w:rPr>
        <w:t>定量包装商品净含量计量检验规则</w:t>
      </w:r>
    </w:p>
    <w:p>
      <w:pPr>
        <w:pStyle w:val="16"/>
        <w:spacing w:before="312" w:after="312"/>
        <w:rPr>
          <w:rFonts w:cs="Times New Roman"/>
          <w:color w:val="auto"/>
        </w:rPr>
      </w:pPr>
      <w:bookmarkStart w:id="25" w:name="_Toc459740758"/>
      <w:bookmarkEnd w:id="25"/>
      <w:bookmarkStart w:id="26" w:name="_Toc459739739"/>
      <w:bookmarkStart w:id="27" w:name="_Toc458457311"/>
      <w:bookmarkStart w:id="28" w:name="_Toc456203707"/>
      <w:bookmarkStart w:id="29" w:name="_Toc421025241"/>
      <w:bookmarkStart w:id="30" w:name="_Toc455914424"/>
      <w:bookmarkStart w:id="31" w:name="_Toc458244816"/>
      <w:bookmarkStart w:id="32" w:name="_Toc459737903"/>
      <w:bookmarkStart w:id="33" w:name="_Toc421024811"/>
      <w:bookmarkStart w:id="34" w:name="_Toc421024592"/>
      <w:bookmarkStart w:id="35" w:name="_Toc459742962"/>
      <w:bookmarkStart w:id="36" w:name="_Toc459660399"/>
      <w:bookmarkStart w:id="37" w:name="_Toc421024745"/>
      <w:bookmarkStart w:id="38" w:name="_Toc458244936"/>
      <w:bookmarkStart w:id="39" w:name="_Toc459635405"/>
      <w:bookmarkStart w:id="40" w:name="_Toc421025190"/>
      <w:bookmarkStart w:id="41" w:name="_Toc459741515"/>
      <w:bookmarkStart w:id="42" w:name="_Toc459660485"/>
      <w:bookmarkStart w:id="43" w:name="_Toc459742590"/>
      <w:bookmarkStart w:id="44" w:name="_Toc421024688"/>
      <w:bookmarkStart w:id="45" w:name="_Toc456204812"/>
      <w:bookmarkStart w:id="46" w:name="_Toc459660555"/>
      <w:bookmarkStart w:id="47" w:name="_Toc458244514"/>
      <w:bookmarkStart w:id="48" w:name="_Toc459743072"/>
      <w:bookmarkStart w:id="49" w:name="_Toc459742381"/>
      <w:bookmarkStart w:id="50" w:name="_Toc458244317"/>
      <w:r>
        <w:rPr>
          <w:rFonts w:hint="eastAsia"/>
          <w:color w:val="auto"/>
        </w:rPr>
        <w:t>术语和定义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</w:p>
    <w:p>
      <w:pPr>
        <w:pStyle w:val="13"/>
        <w:spacing w:before="156" w:after="156"/>
        <w:rPr>
          <w:color w:val="auto"/>
        </w:rPr>
      </w:pPr>
      <w:bookmarkStart w:id="51" w:name="_Toc459739740"/>
      <w:bookmarkStart w:id="52" w:name="_Toc459711933"/>
      <w:bookmarkStart w:id="53" w:name="_Toc459712103"/>
      <w:bookmarkStart w:id="54" w:name="_Toc459712296"/>
      <w:bookmarkStart w:id="55" w:name="_Toc459712018"/>
      <w:bookmarkStart w:id="56" w:name="_Toc459712393"/>
      <w:bookmarkStart w:id="57" w:name="_Toc459712211"/>
      <w:bookmarkStart w:id="58" w:name="_Toc459712542"/>
      <w:r>
        <w:rPr>
          <w:rFonts w:hint="eastAsia"/>
          <w:color w:val="auto"/>
        </w:rPr>
        <w:t>利州香菇L</w:t>
      </w:r>
      <w:r>
        <w:rPr>
          <w:color w:val="auto"/>
        </w:rPr>
        <w:t xml:space="preserve">izhou </w:t>
      </w:r>
      <w:r>
        <w:rPr>
          <w:rFonts w:hint="eastAsia"/>
          <w:i/>
          <w:color w:val="auto"/>
        </w:rPr>
        <w:t>L</w:t>
      </w:r>
      <w:r>
        <w:rPr>
          <w:i/>
          <w:color w:val="auto"/>
        </w:rPr>
        <w:t>entin</w:t>
      </w:r>
      <w:r>
        <w:rPr>
          <w:rFonts w:hint="eastAsia"/>
          <w:i/>
          <w:color w:val="auto"/>
        </w:rPr>
        <w:t>la</w:t>
      </w:r>
      <w:r>
        <w:rPr>
          <w:i/>
          <w:color w:val="auto"/>
        </w:rPr>
        <w:t xml:space="preserve"> edodes</w:t>
      </w:r>
      <w:bookmarkEnd w:id="51"/>
    </w:p>
    <w:p>
      <w:pPr>
        <w:pStyle w:val="11"/>
        <w:rPr>
          <w:rFonts w:cs="Times New Roman"/>
          <w:color w:val="auto"/>
        </w:rPr>
      </w:pPr>
      <w:r>
        <w:rPr>
          <w:color w:val="auto"/>
        </w:rPr>
        <w:t xml:space="preserve"> </w:t>
      </w:r>
      <w:bookmarkStart w:id="59" w:name="_Toc459739741"/>
      <w:r>
        <w:rPr>
          <w:rFonts w:hint="eastAsia"/>
          <w:color w:val="auto"/>
        </w:rPr>
        <w:t>种植在本标准第</w:t>
      </w:r>
      <w:r>
        <w:rPr>
          <w:color w:val="auto"/>
        </w:rPr>
        <w:t>4</w:t>
      </w:r>
      <w:r>
        <w:rPr>
          <w:rFonts w:hint="eastAsia"/>
          <w:color w:val="auto"/>
          <w:lang w:val="en-US" w:eastAsia="zh-CN"/>
        </w:rPr>
        <w:t>项</w:t>
      </w:r>
      <w:r>
        <w:rPr>
          <w:rFonts w:hint="eastAsia"/>
          <w:color w:val="auto"/>
        </w:rPr>
        <w:t>规定范围内的柄短、菌盖圆整肥厚、卷边大、菌褶整齐、花菇裂纹深段木栽培的香菇。</w:t>
      </w:r>
      <w:bookmarkEnd w:id="52"/>
      <w:bookmarkEnd w:id="53"/>
      <w:bookmarkEnd w:id="54"/>
      <w:bookmarkEnd w:id="55"/>
      <w:bookmarkEnd w:id="56"/>
      <w:bookmarkEnd w:id="57"/>
      <w:bookmarkEnd w:id="58"/>
      <w:bookmarkEnd w:id="59"/>
    </w:p>
    <w:p>
      <w:pPr>
        <w:pStyle w:val="13"/>
        <w:spacing w:before="156" w:after="156"/>
        <w:rPr>
          <w:color w:val="auto"/>
        </w:rPr>
      </w:pPr>
      <w:bookmarkStart w:id="60" w:name="_Toc459712212"/>
      <w:bookmarkStart w:id="61" w:name="_Toc459712104"/>
      <w:bookmarkStart w:id="62" w:name="_Toc459712297"/>
      <w:bookmarkStart w:id="63" w:name="_Toc459712394"/>
      <w:bookmarkStart w:id="64" w:name="_Toc459712019"/>
      <w:bookmarkStart w:id="65" w:name="_Toc459711934"/>
      <w:bookmarkStart w:id="66" w:name="_Toc459712543"/>
      <w:r>
        <w:rPr>
          <w:rFonts w:hint="eastAsia"/>
          <w:color w:val="auto"/>
          <w:lang w:eastAsia="zh-CN"/>
        </w:rPr>
        <w:t>椴木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木质坚实，营养丰富，树皮较厚，树龄在</w:t>
      </w:r>
      <w:r>
        <w:rPr>
          <w:color w:val="auto"/>
        </w:rPr>
        <w:t>8</w:t>
      </w:r>
      <w:r>
        <w:rPr>
          <w:rFonts w:hint="eastAsia"/>
          <w:color w:val="auto"/>
        </w:rPr>
        <w:t>年以上，截短后用于栽培香菇的木段，长度为</w:t>
      </w:r>
      <w:r>
        <w:rPr>
          <w:color w:val="auto"/>
        </w:rPr>
        <w:t>1</w:t>
      </w:r>
      <w:r>
        <w:rPr>
          <w:rFonts w:hint="eastAsia"/>
          <w:color w:val="auto"/>
        </w:rPr>
        <w:t>～</w:t>
      </w:r>
      <w:r>
        <w:rPr>
          <w:color w:val="auto"/>
        </w:rPr>
        <w:t>1.3m</w:t>
      </w:r>
      <w:r>
        <w:rPr>
          <w:rFonts w:hint="eastAsia"/>
          <w:color w:val="auto"/>
        </w:rPr>
        <w:t>，直径在</w:t>
      </w:r>
      <w:r>
        <w:rPr>
          <w:color w:val="auto"/>
        </w:rPr>
        <w:t>10cm</w:t>
      </w:r>
      <w:r>
        <w:rPr>
          <w:rFonts w:hint="eastAsia"/>
          <w:color w:val="auto"/>
        </w:rPr>
        <w:t>以上的壳斗科栎属青冈树木材。</w:t>
      </w:r>
      <w:bookmarkEnd w:id="60"/>
      <w:bookmarkEnd w:id="61"/>
      <w:bookmarkEnd w:id="62"/>
      <w:bookmarkEnd w:id="63"/>
      <w:bookmarkEnd w:id="64"/>
      <w:bookmarkEnd w:id="65"/>
      <w:bookmarkEnd w:id="66"/>
    </w:p>
    <w:p>
      <w:pPr>
        <w:pStyle w:val="16"/>
        <w:spacing w:before="312" w:after="312"/>
        <w:rPr>
          <w:rFonts w:cs="Times New Roman"/>
          <w:color w:val="auto"/>
        </w:rPr>
      </w:pPr>
      <w:bookmarkStart w:id="67" w:name="_Toc459742382"/>
      <w:bookmarkStart w:id="68" w:name="_Toc459712444"/>
      <w:bookmarkStart w:id="69" w:name="_Toc459712020"/>
      <w:bookmarkStart w:id="70" w:name="_Toc459712347"/>
      <w:bookmarkStart w:id="71" w:name="_Toc459741516"/>
      <w:bookmarkStart w:id="72" w:name="_Toc459742963"/>
      <w:bookmarkStart w:id="73" w:name="_Toc459736657"/>
      <w:bookmarkStart w:id="74" w:name="_Toc459742591"/>
      <w:bookmarkStart w:id="75" w:name="_Toc459712105"/>
      <w:bookmarkStart w:id="76" w:name="_Toc459712298"/>
      <w:bookmarkStart w:id="77" w:name="_Toc459711727"/>
      <w:bookmarkStart w:id="78" w:name="_Toc459712544"/>
      <w:bookmarkStart w:id="79" w:name="_Toc459712603"/>
      <w:bookmarkStart w:id="80" w:name="_Toc459739743"/>
      <w:bookmarkStart w:id="81" w:name="_Toc459711935"/>
      <w:bookmarkStart w:id="82" w:name="_Toc459712213"/>
      <w:bookmarkStart w:id="83" w:name="_Toc459712370"/>
      <w:bookmarkStart w:id="84" w:name="_Toc459712188"/>
      <w:bookmarkStart w:id="85" w:name="_Toc459737904"/>
      <w:bookmarkStart w:id="86" w:name="_Toc459743073"/>
      <w:bookmarkStart w:id="87" w:name="_Toc459712395"/>
      <w:r>
        <w:rPr>
          <w:rFonts w:hint="eastAsia"/>
          <w:color w:val="auto"/>
        </w:rPr>
        <w:t>产地范围</w:t>
      </w:r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Start w:id="88" w:name="_Toc459712299"/>
      <w:bookmarkStart w:id="89" w:name="_Toc459712021"/>
      <w:bookmarkStart w:id="90" w:name="_Toc459712106"/>
      <w:bookmarkStart w:id="91" w:name="_Toc459739744"/>
      <w:bookmarkStart w:id="92" w:name="_Toc459712545"/>
      <w:bookmarkStart w:id="93" w:name="_Toc459712214"/>
      <w:bookmarkStart w:id="94" w:name="_Toc459712396"/>
      <w:bookmarkStart w:id="95" w:name="_Toc459711936"/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利州香菇的产地范围限于四川省广元市利州区金洞乡、宝轮镇</w:t>
      </w: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  <w:lang w:val="en-US" w:eastAsia="zh-CN"/>
        </w:rPr>
        <w:t>不含原赤化镇</w:t>
      </w:r>
      <w:r>
        <w:rPr>
          <w:rFonts w:hint="eastAsia"/>
          <w:color w:val="auto"/>
          <w:lang w:eastAsia="zh-CN"/>
        </w:rPr>
        <w:t>）</w:t>
      </w:r>
      <w:r>
        <w:rPr>
          <w:rFonts w:hint="eastAsia"/>
          <w:color w:val="auto"/>
        </w:rPr>
        <w:t>、盘龙镇、大石镇、荣山镇、白朝乡</w:t>
      </w:r>
      <w:r>
        <w:rPr>
          <w:color w:val="auto"/>
        </w:rPr>
        <w:t>6</w:t>
      </w:r>
      <w:r>
        <w:rPr>
          <w:rFonts w:hint="eastAsia"/>
          <w:color w:val="auto"/>
        </w:rPr>
        <w:t>个乡镇现辖行政区域。</w:t>
      </w:r>
      <w:bookmarkEnd w:id="88"/>
      <w:bookmarkEnd w:id="89"/>
      <w:bookmarkEnd w:id="90"/>
      <w:bookmarkEnd w:id="91"/>
      <w:bookmarkEnd w:id="92"/>
      <w:bookmarkEnd w:id="93"/>
      <w:bookmarkEnd w:id="94"/>
      <w:bookmarkEnd w:id="95"/>
    </w:p>
    <w:p>
      <w:pPr>
        <w:pStyle w:val="16"/>
        <w:spacing w:before="312" w:after="312"/>
        <w:rPr>
          <w:rFonts w:cs="Times New Roman"/>
          <w:color w:val="auto"/>
        </w:rPr>
      </w:pPr>
      <w:bookmarkStart w:id="96" w:name="_Toc459712604"/>
      <w:bookmarkStart w:id="97" w:name="_Toc459737905"/>
      <w:bookmarkStart w:id="98" w:name="_Toc459712445"/>
      <w:bookmarkStart w:id="99" w:name="_Toc459712397"/>
      <w:bookmarkStart w:id="100" w:name="_Toc459712348"/>
      <w:bookmarkStart w:id="101" w:name="_Toc459712107"/>
      <w:bookmarkStart w:id="102" w:name="_Toc459741517"/>
      <w:bookmarkStart w:id="103" w:name="_Toc459712215"/>
      <w:bookmarkStart w:id="104" w:name="_Toc459712546"/>
      <w:bookmarkStart w:id="105" w:name="_Toc459742383"/>
      <w:bookmarkStart w:id="106" w:name="_Toc459712022"/>
      <w:bookmarkStart w:id="107" w:name="_Toc459712189"/>
      <w:bookmarkStart w:id="108" w:name="_Toc459736658"/>
      <w:bookmarkStart w:id="109" w:name="_Toc459739745"/>
      <w:bookmarkStart w:id="110" w:name="_Toc459712371"/>
      <w:bookmarkStart w:id="111" w:name="_Toc459711728"/>
      <w:bookmarkStart w:id="112" w:name="_Toc459742592"/>
      <w:bookmarkStart w:id="113" w:name="_Toc459742964"/>
      <w:bookmarkStart w:id="114" w:name="_Toc459743074"/>
      <w:bookmarkStart w:id="115" w:name="_Toc459711937"/>
      <w:bookmarkStart w:id="116" w:name="_Toc459712300"/>
      <w:r>
        <w:rPr>
          <w:rFonts w:hint="eastAsia"/>
          <w:color w:val="auto"/>
        </w:rPr>
        <w:t>环境条件</w:t>
      </w:r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海拔</w:t>
      </w:r>
      <w:r>
        <w:rPr>
          <w:color w:val="auto"/>
        </w:rPr>
        <w:t>800</w:t>
      </w:r>
      <w:r>
        <w:rPr>
          <w:rFonts w:hint="eastAsia"/>
          <w:color w:val="auto"/>
        </w:rPr>
        <w:t>～</w:t>
      </w:r>
      <w:r>
        <w:rPr>
          <w:color w:val="auto"/>
        </w:rPr>
        <w:t>1000m</w:t>
      </w:r>
      <w:r>
        <w:rPr>
          <w:rFonts w:hint="eastAsia"/>
          <w:color w:val="auto"/>
        </w:rPr>
        <w:t>，地势相对平坦丘陵地带</w:t>
      </w:r>
      <w:r>
        <w:rPr>
          <w:color w:val="auto"/>
        </w:rPr>
        <w:t>,</w:t>
      </w:r>
      <w:r>
        <w:rPr>
          <w:rFonts w:hint="eastAsia"/>
          <w:color w:val="auto"/>
        </w:rPr>
        <w:t>背风向阳，光照充足，属亚热带湿润季风气候，气候四季分明，年均气温</w:t>
      </w:r>
      <w:r>
        <w:rPr>
          <w:color w:val="auto"/>
        </w:rPr>
        <w:t>17</w:t>
      </w:r>
      <w:r>
        <w:rPr>
          <w:rFonts w:hint="eastAsia"/>
          <w:color w:val="auto"/>
        </w:rPr>
        <w:t>℃</w:t>
      </w:r>
      <w:r>
        <w:rPr>
          <w:color w:val="auto"/>
        </w:rPr>
        <w:t>,</w:t>
      </w:r>
      <w:r>
        <w:rPr>
          <w:rFonts w:hint="eastAsia"/>
          <w:color w:val="auto"/>
        </w:rPr>
        <w:t>昼夜温差</w:t>
      </w:r>
      <w:r>
        <w:rPr>
          <w:color w:val="auto"/>
        </w:rPr>
        <w:t>9</w:t>
      </w:r>
      <w:r>
        <w:rPr>
          <w:rFonts w:hint="eastAsia"/>
          <w:color w:val="auto"/>
        </w:rPr>
        <w:t>～</w:t>
      </w:r>
      <w:r>
        <w:rPr>
          <w:color w:val="auto"/>
        </w:rPr>
        <w:t>12</w:t>
      </w:r>
      <w:r>
        <w:rPr>
          <w:rFonts w:hint="eastAsia"/>
          <w:color w:val="auto"/>
        </w:rPr>
        <w:t>℃。年日照时数</w:t>
      </w:r>
      <w:r>
        <w:rPr>
          <w:color w:val="auto"/>
        </w:rPr>
        <w:t>1500</w:t>
      </w:r>
      <w:r>
        <w:rPr>
          <w:rFonts w:hint="eastAsia"/>
          <w:color w:val="auto"/>
        </w:rPr>
        <w:t>小时以上。光热资源丰富，热量集中在</w:t>
      </w:r>
      <w:r>
        <w:rPr>
          <w:color w:val="auto"/>
        </w:rPr>
        <w:t>4</w:t>
      </w:r>
      <w:r>
        <w:rPr>
          <w:rFonts w:hint="eastAsia"/>
          <w:color w:val="auto"/>
        </w:rPr>
        <w:t>至</w:t>
      </w:r>
      <w:r>
        <w:rPr>
          <w:color w:val="auto"/>
        </w:rPr>
        <w:t>9</w:t>
      </w:r>
      <w:r>
        <w:rPr>
          <w:rFonts w:hint="eastAsia"/>
          <w:color w:val="auto"/>
        </w:rPr>
        <w:t>月。空气相对湿度≥</w:t>
      </w:r>
      <w:r>
        <w:rPr>
          <w:color w:val="auto"/>
        </w:rPr>
        <w:t>60%</w:t>
      </w:r>
      <w:r>
        <w:rPr>
          <w:rFonts w:hint="eastAsia"/>
          <w:color w:val="auto"/>
        </w:rPr>
        <w:t>，空气清新，水质洁净，周围森林覆盖率≥</w:t>
      </w:r>
      <w:r>
        <w:rPr>
          <w:color w:val="auto"/>
        </w:rPr>
        <w:t>50%</w:t>
      </w:r>
      <w:r>
        <w:rPr>
          <w:rFonts w:hint="eastAsia"/>
          <w:color w:val="auto"/>
        </w:rPr>
        <w:t>。</w:t>
      </w:r>
    </w:p>
    <w:p>
      <w:pPr>
        <w:pStyle w:val="16"/>
        <w:spacing w:before="312" w:after="312"/>
        <w:rPr>
          <w:rFonts w:cs="Times New Roman"/>
          <w:color w:val="auto"/>
        </w:rPr>
      </w:pPr>
      <w:bookmarkStart w:id="117" w:name="_Toc459712023"/>
      <w:bookmarkStart w:id="118" w:name="_Toc459736659"/>
      <w:bookmarkStart w:id="119" w:name="_Toc459739746"/>
      <w:bookmarkStart w:id="120" w:name="_Toc459712372"/>
      <w:bookmarkStart w:id="121" w:name="_Toc459742384"/>
      <w:bookmarkStart w:id="122" w:name="_Toc459743075"/>
      <w:bookmarkStart w:id="123" w:name="_Toc459712349"/>
      <w:bookmarkStart w:id="124" w:name="_Toc459711938"/>
      <w:bookmarkStart w:id="125" w:name="_Toc459712108"/>
      <w:bookmarkStart w:id="126" w:name="_Toc459712547"/>
      <w:bookmarkStart w:id="127" w:name="_Toc459712216"/>
      <w:bookmarkStart w:id="128" w:name="_Toc459742965"/>
      <w:bookmarkStart w:id="129" w:name="_Toc459712605"/>
      <w:bookmarkStart w:id="130" w:name="_Toc459712301"/>
      <w:bookmarkStart w:id="131" w:name="_Toc459712398"/>
      <w:bookmarkStart w:id="132" w:name="_Toc459741518"/>
      <w:bookmarkStart w:id="133" w:name="_Toc459712190"/>
      <w:bookmarkStart w:id="134" w:name="_Toc459737906"/>
      <w:bookmarkStart w:id="135" w:name="_Toc459742593"/>
      <w:bookmarkStart w:id="136" w:name="_Toc459711729"/>
      <w:bookmarkStart w:id="137" w:name="_Toc459712446"/>
      <w:r>
        <w:rPr>
          <w:rFonts w:hint="eastAsia"/>
          <w:color w:val="auto"/>
        </w:rPr>
        <w:t>生产技术规范</w:t>
      </w:r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</w:p>
    <w:p>
      <w:pPr>
        <w:pStyle w:val="13"/>
        <w:spacing w:before="156" w:after="156"/>
        <w:rPr>
          <w:rFonts w:cs="Times New Roman"/>
          <w:color w:val="auto"/>
        </w:rPr>
      </w:pPr>
      <w:bookmarkStart w:id="138" w:name="_Toc459739747"/>
      <w:bookmarkStart w:id="139" w:name="_Toc459712548"/>
      <w:bookmarkStart w:id="140" w:name="_Toc459712302"/>
      <w:bookmarkStart w:id="141" w:name="_Toc459711939"/>
      <w:bookmarkStart w:id="142" w:name="_Toc459712399"/>
      <w:bookmarkStart w:id="143" w:name="_Toc459712109"/>
      <w:bookmarkStart w:id="144" w:name="_Toc459712217"/>
      <w:bookmarkStart w:id="145" w:name="_Toc459712024"/>
      <w:r>
        <w:rPr>
          <w:rFonts w:hint="eastAsia"/>
          <w:color w:val="auto"/>
        </w:rPr>
        <w:t>品种选择</w:t>
      </w:r>
      <w:bookmarkEnd w:id="138"/>
      <w:bookmarkEnd w:id="139"/>
      <w:bookmarkEnd w:id="140"/>
      <w:bookmarkEnd w:id="141"/>
      <w:bookmarkEnd w:id="142"/>
      <w:bookmarkEnd w:id="143"/>
      <w:bookmarkEnd w:id="144"/>
      <w:bookmarkEnd w:id="145"/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选择森源</w:t>
      </w:r>
      <w:r>
        <w:rPr>
          <w:color w:val="auto"/>
        </w:rPr>
        <w:t>2</w:t>
      </w:r>
      <w:r>
        <w:rPr>
          <w:rFonts w:hint="eastAsia"/>
          <w:color w:val="auto"/>
        </w:rPr>
        <w:t>号等适宜保护区栽培的高产、优质香菇菌种，并符合</w:t>
      </w:r>
      <w:r>
        <w:rPr>
          <w:rFonts w:hint="eastAsia"/>
          <w:color w:val="auto"/>
          <w:lang w:val="en-US" w:eastAsia="zh-CN"/>
        </w:rPr>
        <w:t>《</w:t>
      </w:r>
      <w:r>
        <w:rPr>
          <w:rFonts w:hint="eastAsia" w:ascii="宋体" w:hAnsi="宋体" w:cs="宋体"/>
          <w:color w:val="auto"/>
        </w:rPr>
        <w:t>香菇菌种</w:t>
      </w:r>
      <w:r>
        <w:rPr>
          <w:rFonts w:hint="eastAsia"/>
          <w:color w:val="auto"/>
          <w:lang w:val="en-US" w:eastAsia="zh-CN"/>
        </w:rPr>
        <w:t>》</w:t>
      </w:r>
      <w:r>
        <w:rPr>
          <w:color w:val="auto"/>
        </w:rPr>
        <w:t>GB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color w:val="auto"/>
        </w:rPr>
        <w:t>19170</w:t>
      </w:r>
      <w:r>
        <w:rPr>
          <w:rFonts w:hint="eastAsia"/>
          <w:color w:val="auto"/>
          <w:lang w:val="en-US" w:eastAsia="zh-CN"/>
        </w:rPr>
        <w:t>-2003</w:t>
      </w:r>
      <w:r>
        <w:rPr>
          <w:rFonts w:hint="eastAsia"/>
          <w:color w:val="auto"/>
        </w:rPr>
        <w:t>要求。</w:t>
      </w:r>
    </w:p>
    <w:p>
      <w:pPr>
        <w:pStyle w:val="13"/>
        <w:spacing w:before="156" w:after="156"/>
        <w:rPr>
          <w:rFonts w:cs="Times New Roman"/>
          <w:color w:val="auto"/>
        </w:rPr>
      </w:pPr>
      <w:bookmarkStart w:id="146" w:name="_Toc459712025"/>
      <w:bookmarkStart w:id="147" w:name="_Toc459712303"/>
      <w:bookmarkStart w:id="148" w:name="_Toc459712110"/>
      <w:bookmarkStart w:id="149" w:name="_Toc459712400"/>
      <w:bookmarkStart w:id="150" w:name="_Toc459712549"/>
      <w:bookmarkStart w:id="151" w:name="_Toc459739748"/>
      <w:bookmarkStart w:id="152" w:name="_Toc459711940"/>
      <w:bookmarkStart w:id="153" w:name="_Toc459712218"/>
      <w:r>
        <w:rPr>
          <w:rFonts w:hint="eastAsia"/>
          <w:color w:val="auto"/>
        </w:rPr>
        <w:t>菇木要求</w:t>
      </w:r>
      <w:bookmarkEnd w:id="146"/>
      <w:bookmarkEnd w:id="147"/>
      <w:bookmarkEnd w:id="148"/>
      <w:bookmarkEnd w:id="149"/>
      <w:bookmarkEnd w:id="150"/>
      <w:bookmarkEnd w:id="151"/>
      <w:bookmarkEnd w:id="152"/>
      <w:bookmarkEnd w:id="153"/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选择产区范围内树龄</w:t>
      </w:r>
      <w:r>
        <w:rPr>
          <w:color w:val="auto"/>
        </w:rPr>
        <w:t>8</w:t>
      </w:r>
      <w:r>
        <w:rPr>
          <w:rFonts w:hint="eastAsia"/>
          <w:color w:val="auto"/>
        </w:rPr>
        <w:t>年以上的壳斗科栎属青冈树木材，段木直径</w:t>
      </w:r>
      <w:r>
        <w:rPr>
          <w:color w:val="auto"/>
        </w:rPr>
        <w:t>10cm</w:t>
      </w:r>
      <w:r>
        <w:rPr>
          <w:rFonts w:hint="eastAsia"/>
          <w:color w:val="auto"/>
        </w:rPr>
        <w:t>以上。</w:t>
      </w:r>
    </w:p>
    <w:p>
      <w:pPr>
        <w:pStyle w:val="13"/>
        <w:spacing w:before="156" w:after="156"/>
        <w:rPr>
          <w:rFonts w:cs="Times New Roman"/>
          <w:color w:val="auto"/>
        </w:rPr>
      </w:pPr>
      <w:bookmarkStart w:id="154" w:name="_Toc459711941"/>
      <w:bookmarkStart w:id="155" w:name="_Toc459712304"/>
      <w:bookmarkStart w:id="156" w:name="_Toc459712026"/>
      <w:bookmarkStart w:id="157" w:name="_Toc459712111"/>
      <w:bookmarkStart w:id="158" w:name="_Toc459739749"/>
      <w:bookmarkStart w:id="159" w:name="_Toc459712401"/>
      <w:bookmarkStart w:id="160" w:name="_Toc459712550"/>
      <w:bookmarkStart w:id="161" w:name="_Toc459712219"/>
      <w:r>
        <w:rPr>
          <w:rFonts w:hint="eastAsia"/>
          <w:color w:val="auto"/>
        </w:rPr>
        <w:t>栽培管理</w:t>
      </w:r>
      <w:bookmarkEnd w:id="154"/>
      <w:bookmarkEnd w:id="155"/>
      <w:bookmarkEnd w:id="156"/>
      <w:bookmarkEnd w:id="157"/>
      <w:bookmarkEnd w:id="158"/>
      <w:bookmarkEnd w:id="159"/>
      <w:bookmarkEnd w:id="160"/>
      <w:bookmarkEnd w:id="161"/>
    </w:p>
    <w:p>
      <w:pPr>
        <w:pStyle w:val="17"/>
        <w:numPr>
          <w:ilvl w:val="0"/>
          <w:numId w:val="0"/>
        </w:numPr>
        <w:spacing w:before="156" w:after="156"/>
        <w:rPr>
          <w:rFonts w:hint="eastAsia" w:eastAsia="黑体" w:cs="Times New Roman"/>
          <w:color w:val="auto"/>
          <w:lang w:eastAsia="zh-CN"/>
        </w:rPr>
      </w:pPr>
      <w:bookmarkStart w:id="162" w:name="_Toc459711942"/>
      <w:bookmarkStart w:id="163" w:name="_Toc459712112"/>
      <w:bookmarkStart w:id="164" w:name="_Toc459712027"/>
      <w:bookmarkStart w:id="165" w:name="_Toc459712220"/>
      <w:r>
        <w:rPr>
          <w:color w:val="auto"/>
        </w:rPr>
        <w:t xml:space="preserve">6.3.1 </w:t>
      </w:r>
      <w:r>
        <w:rPr>
          <w:rFonts w:hint="eastAsia"/>
          <w:color w:val="auto"/>
          <w:lang w:eastAsia="zh-CN"/>
        </w:rPr>
        <w:t>椴木</w:t>
      </w:r>
      <w:bookmarkEnd w:id="162"/>
      <w:bookmarkEnd w:id="163"/>
      <w:bookmarkEnd w:id="164"/>
      <w:bookmarkEnd w:id="165"/>
      <w:r>
        <w:rPr>
          <w:rFonts w:hint="eastAsia"/>
          <w:color w:val="auto"/>
          <w:lang w:eastAsia="zh-CN"/>
        </w:rPr>
        <w:t>准备</w:t>
      </w:r>
    </w:p>
    <w:p>
      <w:pPr>
        <w:pStyle w:val="11"/>
        <w:rPr>
          <w:rFonts w:cs="Times New Roman"/>
          <w:color w:val="auto"/>
        </w:rPr>
      </w:pPr>
      <w:bookmarkStart w:id="166" w:name="_Toc459712028"/>
      <w:bookmarkStart w:id="167" w:name="_Toc459712113"/>
      <w:bookmarkStart w:id="168" w:name="_Toc459712221"/>
      <w:bookmarkStart w:id="169" w:name="_Toc459711943"/>
      <w:r>
        <w:rPr>
          <w:rFonts w:hint="eastAsia"/>
          <w:color w:val="auto"/>
        </w:rPr>
        <w:t>冬至至次年立春</w:t>
      </w:r>
      <w:r>
        <w:rPr>
          <w:rFonts w:hint="eastAsia"/>
          <w:color w:val="auto"/>
          <w:lang w:eastAsia="zh-CN"/>
        </w:rPr>
        <w:t>期间</w:t>
      </w:r>
      <w:r>
        <w:rPr>
          <w:rFonts w:hint="eastAsia"/>
          <w:color w:val="auto"/>
        </w:rPr>
        <w:t>砍伐原木，要将其放在原地数日，待树木丧失部分水分后，方可剃枝，剃枝</w:t>
      </w:r>
      <w:r>
        <w:rPr>
          <w:rFonts w:hint="eastAsia"/>
          <w:color w:val="auto"/>
          <w:lang w:eastAsia="zh-CN"/>
        </w:rPr>
        <w:t>后截成</w:t>
      </w:r>
      <w:r>
        <w:rPr>
          <w:rFonts w:hint="eastAsia"/>
          <w:color w:val="auto"/>
          <w:lang w:val="en-US" w:eastAsia="zh-CN"/>
        </w:rPr>
        <w:t>1</w:t>
      </w:r>
      <w:r>
        <w:rPr>
          <w:rFonts w:hint="eastAsia"/>
          <w:color w:val="auto"/>
        </w:rPr>
        <w:t>～</w:t>
      </w:r>
      <w:r>
        <w:rPr>
          <w:rFonts w:hint="eastAsia"/>
          <w:color w:val="auto"/>
          <w:lang w:val="en-US" w:eastAsia="zh-CN"/>
        </w:rPr>
        <w:t>1.3m木段，截面用5%石灰水消毒处理1次，</w:t>
      </w:r>
      <w:r>
        <w:rPr>
          <w:rFonts w:hint="eastAsia"/>
          <w:color w:val="auto"/>
        </w:rPr>
        <w:t>在砍伐、搬运过程中，须保持树皮完整无损不脱落</w:t>
      </w:r>
      <w:r>
        <w:rPr>
          <w:rFonts w:hint="eastAsia"/>
          <w:color w:val="auto"/>
          <w:lang w:eastAsia="zh-CN"/>
        </w:rPr>
        <w:t>。以“井”型架堆</w:t>
      </w:r>
      <w:r>
        <w:rPr>
          <w:rFonts w:hint="eastAsia"/>
          <w:color w:val="auto"/>
        </w:rPr>
        <w:t>自然干燥</w:t>
      </w:r>
      <w:r>
        <w:rPr>
          <w:rFonts w:hint="eastAsia"/>
          <w:color w:val="auto"/>
          <w:lang w:eastAsia="zh-CN"/>
        </w:rPr>
        <w:t>数</w:t>
      </w:r>
      <w:r>
        <w:rPr>
          <w:rFonts w:hint="eastAsia"/>
          <w:color w:val="auto"/>
        </w:rPr>
        <w:t>天，</w:t>
      </w:r>
      <w:r>
        <w:rPr>
          <w:rFonts w:hint="eastAsia"/>
          <w:color w:val="auto"/>
          <w:lang w:eastAsia="zh-CN"/>
        </w:rPr>
        <w:t>待</w:t>
      </w:r>
      <w:r>
        <w:rPr>
          <w:rFonts w:hint="eastAsia"/>
          <w:color w:val="auto"/>
        </w:rPr>
        <w:t>段头出现裂纹，</w:t>
      </w:r>
      <w:r>
        <w:rPr>
          <w:rFonts w:hint="eastAsia"/>
          <w:color w:val="auto"/>
          <w:lang w:eastAsia="zh-CN"/>
        </w:rPr>
        <w:t>椴木</w:t>
      </w:r>
      <w:r>
        <w:rPr>
          <w:rFonts w:hint="eastAsia"/>
          <w:color w:val="auto"/>
        </w:rPr>
        <w:t>含水量为</w:t>
      </w:r>
      <w:r>
        <w:rPr>
          <w:rFonts w:hint="eastAsia"/>
          <w:color w:val="auto"/>
          <w:lang w:val="en-US" w:eastAsia="zh-CN"/>
        </w:rPr>
        <w:t>40</w:t>
      </w:r>
      <w:r>
        <w:rPr>
          <w:color w:val="auto"/>
        </w:rPr>
        <w:t>%</w:t>
      </w:r>
      <w:r>
        <w:rPr>
          <w:rFonts w:hint="eastAsia"/>
          <w:color w:val="auto"/>
        </w:rPr>
        <w:t>～</w:t>
      </w:r>
      <w:r>
        <w:rPr>
          <w:color w:val="auto"/>
        </w:rPr>
        <w:t>45%</w:t>
      </w:r>
      <w:r>
        <w:rPr>
          <w:rFonts w:hint="eastAsia"/>
          <w:color w:val="auto"/>
        </w:rPr>
        <w:t>时</w:t>
      </w:r>
      <w:r>
        <w:rPr>
          <w:rFonts w:hint="eastAsia"/>
          <w:color w:val="auto"/>
          <w:lang w:eastAsia="zh-CN"/>
        </w:rPr>
        <w:t>方可</w:t>
      </w:r>
      <w:r>
        <w:rPr>
          <w:rFonts w:hint="eastAsia"/>
          <w:color w:val="auto"/>
        </w:rPr>
        <w:t>接种。</w:t>
      </w:r>
      <w:bookmarkEnd w:id="166"/>
      <w:bookmarkEnd w:id="167"/>
      <w:bookmarkEnd w:id="168"/>
      <w:bookmarkEnd w:id="169"/>
    </w:p>
    <w:p>
      <w:pPr>
        <w:pStyle w:val="17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bookmarkStart w:id="170" w:name="_Toc459712114"/>
      <w:bookmarkStart w:id="171" w:name="_Toc459712222"/>
      <w:bookmarkStart w:id="172" w:name="_Toc459712029"/>
      <w:bookmarkStart w:id="173" w:name="_Toc459711944"/>
      <w:r>
        <w:rPr>
          <w:color w:val="auto"/>
        </w:rPr>
        <w:t>6.3.2</w:t>
      </w:r>
      <w:r>
        <w:rPr>
          <w:rFonts w:hint="eastAsia"/>
          <w:color w:val="auto"/>
        </w:rPr>
        <w:t>接种</w:t>
      </w:r>
      <w:bookmarkEnd w:id="170"/>
      <w:bookmarkEnd w:id="171"/>
      <w:bookmarkEnd w:id="172"/>
      <w:bookmarkEnd w:id="173"/>
    </w:p>
    <w:p>
      <w:pPr>
        <w:pStyle w:val="19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r>
        <w:rPr>
          <w:color w:val="auto"/>
        </w:rPr>
        <w:t>3.3.2.1</w:t>
      </w:r>
      <w:r>
        <w:rPr>
          <w:rFonts w:hint="eastAsia"/>
          <w:color w:val="auto"/>
        </w:rPr>
        <w:t>接种时间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制成</w:t>
      </w:r>
      <w:r>
        <w:rPr>
          <w:rFonts w:hint="eastAsia"/>
          <w:color w:val="auto"/>
          <w:lang w:eastAsia="zh-CN"/>
        </w:rPr>
        <w:t>椴木</w:t>
      </w:r>
      <w:r>
        <w:rPr>
          <w:rFonts w:hint="eastAsia"/>
          <w:color w:val="auto"/>
        </w:rPr>
        <w:t>后</w:t>
      </w:r>
      <w:r>
        <w:rPr>
          <w:color w:val="auto"/>
        </w:rPr>
        <w:t>14</w:t>
      </w:r>
      <w:r>
        <w:rPr>
          <w:rFonts w:hint="eastAsia"/>
          <w:color w:val="auto"/>
        </w:rPr>
        <w:t>天内，气温</w:t>
      </w:r>
      <w:r>
        <w:rPr>
          <w:color w:val="auto"/>
        </w:rPr>
        <w:t>10</w:t>
      </w:r>
      <w:r>
        <w:rPr>
          <w:rFonts w:hint="eastAsia"/>
          <w:color w:val="auto"/>
        </w:rPr>
        <w:t>℃～</w:t>
      </w:r>
      <w:r>
        <w:rPr>
          <w:color w:val="auto"/>
        </w:rPr>
        <w:t>15</w:t>
      </w:r>
      <w:r>
        <w:rPr>
          <w:rFonts w:hint="eastAsia"/>
          <w:color w:val="auto"/>
        </w:rPr>
        <w:t>℃无风晴天接种。</w:t>
      </w:r>
      <w:r>
        <w:rPr>
          <w:rFonts w:cs="Times New Roman"/>
          <w:color w:val="auto"/>
        </w:rPr>
        <w:t> </w:t>
      </w:r>
    </w:p>
    <w:p>
      <w:pPr>
        <w:pStyle w:val="19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r>
        <w:rPr>
          <w:color w:val="auto"/>
        </w:rPr>
        <w:t>6.3.2.2</w:t>
      </w:r>
      <w:r>
        <w:rPr>
          <w:rFonts w:hint="eastAsia"/>
          <w:color w:val="auto"/>
        </w:rPr>
        <w:t>密度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穴距</w:t>
      </w:r>
      <w:r>
        <w:rPr>
          <w:color w:val="auto"/>
        </w:rPr>
        <w:t>8</w:t>
      </w:r>
      <w:r>
        <w:rPr>
          <w:rFonts w:hint="eastAsia"/>
          <w:color w:val="auto"/>
        </w:rPr>
        <w:t>～</w:t>
      </w:r>
      <w:r>
        <w:rPr>
          <w:color w:val="auto"/>
        </w:rPr>
        <w:t>10cm</w:t>
      </w:r>
      <w:r>
        <w:rPr>
          <w:rFonts w:hint="eastAsia"/>
          <w:color w:val="auto"/>
        </w:rPr>
        <w:t>，行距</w:t>
      </w:r>
      <w:r>
        <w:rPr>
          <w:color w:val="auto"/>
        </w:rPr>
        <w:t>4</w:t>
      </w:r>
      <w:r>
        <w:rPr>
          <w:rFonts w:hint="eastAsia"/>
          <w:color w:val="auto"/>
        </w:rPr>
        <w:t>～</w:t>
      </w:r>
      <w:r>
        <w:rPr>
          <w:color w:val="auto"/>
        </w:rPr>
        <w:t>6cm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color w:val="auto"/>
          <w:lang w:val="en-US" w:eastAsia="zh-CN"/>
        </w:rPr>
        <w:t>呈</w:t>
      </w:r>
      <w:r>
        <w:rPr>
          <w:rFonts w:hint="eastAsia"/>
          <w:color w:val="auto"/>
        </w:rPr>
        <w:t>品字形排列。</w:t>
      </w:r>
      <w:r>
        <w:rPr>
          <w:rFonts w:cs="Times New Roman"/>
          <w:color w:val="auto"/>
        </w:rPr>
        <w:t> </w:t>
      </w:r>
    </w:p>
    <w:p>
      <w:pPr>
        <w:pStyle w:val="19"/>
        <w:numPr>
          <w:ilvl w:val="0"/>
          <w:numId w:val="0"/>
        </w:numPr>
        <w:spacing w:before="156" w:after="156"/>
        <w:rPr>
          <w:rFonts w:hint="eastAsia"/>
          <w:color w:val="auto"/>
        </w:rPr>
      </w:pPr>
      <w:r>
        <w:rPr>
          <w:color w:val="auto"/>
        </w:rPr>
        <w:t>6.3.2.3</w:t>
      </w:r>
      <w:r>
        <w:rPr>
          <w:rFonts w:hint="eastAsia"/>
          <w:color w:val="auto"/>
        </w:rPr>
        <w:t>方法</w:t>
      </w:r>
    </w:p>
    <w:p>
      <w:pPr>
        <w:pStyle w:val="11"/>
      </w:pPr>
      <w:r>
        <w:rPr>
          <w:rFonts w:hint="eastAsia"/>
          <w:lang w:eastAsia="zh-CN"/>
        </w:rPr>
        <w:t>可用木屑菌种、木粒</w:t>
      </w:r>
      <w:r>
        <w:t>菌种</w:t>
      </w:r>
      <w:r>
        <w:rPr>
          <w:rFonts w:hint="eastAsia"/>
          <w:lang w:eastAsia="zh-CN"/>
        </w:rPr>
        <w:t>等进行接种，要求菌种与</w:t>
      </w:r>
      <w:r>
        <w:t>接种孔周围的段木要接触好，不留空隙，以利于菌种萌发定植。</w:t>
      </w:r>
    </w:p>
    <w:p>
      <w:pPr>
        <w:pStyle w:val="20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r>
        <w:rPr>
          <w:color w:val="auto"/>
        </w:rPr>
        <w:t>6.3.2.3.1</w:t>
      </w:r>
      <w:r>
        <w:rPr>
          <w:rFonts w:hint="eastAsia"/>
          <w:color w:val="auto"/>
        </w:rPr>
        <w:t>木屑菌种接种法</w:t>
      </w:r>
    </w:p>
    <w:p>
      <w:pPr>
        <w:pStyle w:val="11"/>
        <w:rPr>
          <w:rFonts w:hint="eastAsia" w:eastAsia="宋体" w:cs="Times New Roman"/>
          <w:color w:val="auto"/>
          <w:lang w:val="en-US" w:eastAsia="zh-CN"/>
        </w:rPr>
      </w:pPr>
      <w:r>
        <w:rPr>
          <w:rFonts w:hint="eastAsia"/>
          <w:color w:val="auto"/>
        </w:rPr>
        <w:t>接种前先用电钻或打孔器在菇木上打孔，孔深</w:t>
      </w:r>
      <w:r>
        <w:rPr>
          <w:color w:val="auto"/>
        </w:rPr>
        <w:t>1</w:t>
      </w:r>
      <w:r>
        <w:rPr>
          <w:rFonts w:hint="eastAsia"/>
          <w:color w:val="auto"/>
        </w:rPr>
        <w:t>．</w:t>
      </w:r>
      <w:r>
        <w:rPr>
          <w:color w:val="auto"/>
        </w:rPr>
        <w:t>5</w:t>
      </w:r>
      <w:r>
        <w:rPr>
          <w:rFonts w:hint="eastAsia"/>
          <w:color w:val="auto"/>
        </w:rPr>
        <w:t>～</w:t>
      </w:r>
      <w:r>
        <w:rPr>
          <w:color w:val="auto"/>
        </w:rPr>
        <w:t>2cm</w:t>
      </w:r>
      <w:r>
        <w:rPr>
          <w:rFonts w:hint="eastAsia"/>
          <w:color w:val="auto"/>
        </w:rPr>
        <w:t>，孔径</w:t>
      </w:r>
      <w:r>
        <w:rPr>
          <w:color w:val="auto"/>
        </w:rPr>
        <w:t>1</w:t>
      </w:r>
      <w:r>
        <w:rPr>
          <w:rFonts w:hint="eastAsia"/>
          <w:color w:val="auto"/>
        </w:rPr>
        <w:t>．</w:t>
      </w:r>
      <w:r>
        <w:rPr>
          <w:color w:val="auto"/>
        </w:rPr>
        <w:t>5cm</w:t>
      </w:r>
      <w:r>
        <w:rPr>
          <w:rFonts w:hint="eastAsia"/>
          <w:color w:val="auto"/>
        </w:rPr>
        <w:t>，接种孔的行距</w:t>
      </w:r>
      <w:r>
        <w:rPr>
          <w:color w:val="auto"/>
        </w:rPr>
        <w:t>4</w:t>
      </w:r>
      <w:r>
        <w:rPr>
          <w:rFonts w:hint="eastAsia"/>
          <w:color w:val="auto"/>
        </w:rPr>
        <w:t>～</w:t>
      </w:r>
      <w:r>
        <w:rPr>
          <w:color w:val="auto"/>
        </w:rPr>
        <w:t>6cm</w:t>
      </w:r>
      <w:r>
        <w:rPr>
          <w:rFonts w:hint="eastAsia"/>
          <w:color w:val="auto"/>
        </w:rPr>
        <w:t>，穴距</w:t>
      </w:r>
      <w:r>
        <w:rPr>
          <w:color w:val="auto"/>
        </w:rPr>
        <w:t>8</w:t>
      </w:r>
      <w:r>
        <w:rPr>
          <w:rFonts w:hint="eastAsia"/>
          <w:color w:val="auto"/>
        </w:rPr>
        <w:t>～</w:t>
      </w:r>
      <w:r>
        <w:rPr>
          <w:color w:val="auto"/>
        </w:rPr>
        <w:t>10cm</w:t>
      </w:r>
      <w:r>
        <w:rPr>
          <w:rFonts w:hint="eastAsia"/>
          <w:color w:val="auto"/>
        </w:rPr>
        <w:t>，品字形排列。接种时取木屑</w:t>
      </w:r>
      <w:r>
        <w:rPr>
          <w:rFonts w:hint="eastAsia"/>
          <w:color w:val="auto"/>
          <w:lang w:eastAsia="zh-CN"/>
        </w:rPr>
        <w:t>菌</w:t>
      </w:r>
      <w:r>
        <w:rPr>
          <w:rFonts w:hint="eastAsia"/>
          <w:color w:val="auto"/>
        </w:rPr>
        <w:t>种填入接种孔内，</w:t>
      </w:r>
      <w:r>
        <w:rPr>
          <w:rFonts w:hint="eastAsia"/>
          <w:color w:val="auto"/>
          <w:lang w:val="en-US" w:eastAsia="zh-CN"/>
        </w:rPr>
        <w:t>菌种填满接种孔即可，</w:t>
      </w:r>
      <w:r>
        <w:rPr>
          <w:rFonts w:hint="eastAsia"/>
          <w:color w:val="auto"/>
        </w:rPr>
        <w:t>再将预先准备好的树皮盖</w:t>
      </w:r>
      <w:r>
        <w:rPr>
          <w:rFonts w:hint="eastAsia"/>
          <w:color w:val="auto"/>
          <w:lang w:eastAsia="zh-CN"/>
        </w:rPr>
        <w:t>封</w:t>
      </w:r>
      <w:r>
        <w:rPr>
          <w:rFonts w:hint="eastAsia"/>
          <w:color w:val="auto"/>
        </w:rPr>
        <w:t>在接种孔上，用锤子轻轻敲平。玉米芯也可以作封盖，先将玉米芯用锤子敲成四瓣，手拿其中一瓣用锤子逐个接种孔敲入即可</w:t>
      </w:r>
      <w:r>
        <w:rPr>
          <w:rFonts w:hint="eastAsia"/>
          <w:color w:val="auto"/>
          <w:lang w:eastAsia="zh-CN"/>
        </w:rPr>
        <w:t>。</w:t>
      </w:r>
    </w:p>
    <w:p>
      <w:pPr>
        <w:pStyle w:val="20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r>
        <w:rPr>
          <w:color w:val="auto"/>
        </w:rPr>
        <w:t>6.3.2.3.2</w:t>
      </w:r>
      <w:r>
        <w:rPr>
          <w:rFonts w:hint="eastAsia"/>
          <w:color w:val="auto"/>
        </w:rPr>
        <w:t>木粒菌种接种法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接种前先在</w:t>
      </w:r>
      <w:r>
        <w:rPr>
          <w:rFonts w:hint="eastAsia"/>
          <w:color w:val="auto"/>
          <w:lang w:eastAsia="zh-CN"/>
        </w:rPr>
        <w:t>椴木</w:t>
      </w:r>
      <w:r>
        <w:rPr>
          <w:rFonts w:hint="eastAsia"/>
          <w:color w:val="auto"/>
        </w:rPr>
        <w:t>上打孔</w:t>
      </w: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</w:rPr>
        <w:t>孔深</w:t>
      </w:r>
      <w:r>
        <w:rPr>
          <w:color w:val="auto"/>
        </w:rPr>
        <w:t>1</w:t>
      </w:r>
      <w:r>
        <w:rPr>
          <w:rFonts w:hint="eastAsia"/>
          <w:color w:val="auto"/>
        </w:rPr>
        <w:t>．</w:t>
      </w:r>
      <w:r>
        <w:rPr>
          <w:color w:val="auto"/>
        </w:rPr>
        <w:t>5</w:t>
      </w:r>
      <w:r>
        <w:rPr>
          <w:rFonts w:hint="eastAsia"/>
          <w:color w:val="auto"/>
        </w:rPr>
        <w:t>～</w:t>
      </w:r>
      <w:r>
        <w:rPr>
          <w:color w:val="auto"/>
        </w:rPr>
        <w:t>2cm</w:t>
      </w:r>
      <w:r>
        <w:rPr>
          <w:rFonts w:hint="eastAsia"/>
          <w:color w:val="auto"/>
        </w:rPr>
        <w:t>，孔径</w:t>
      </w:r>
      <w:r>
        <w:rPr>
          <w:color w:val="auto"/>
        </w:rPr>
        <w:t>1</w:t>
      </w:r>
      <w:r>
        <w:rPr>
          <w:rFonts w:hint="eastAsia"/>
          <w:color w:val="auto"/>
        </w:rPr>
        <w:t>．</w:t>
      </w:r>
      <w:r>
        <w:rPr>
          <w:color w:val="auto"/>
        </w:rPr>
        <w:t>5cm</w:t>
      </w:r>
      <w:r>
        <w:rPr>
          <w:rFonts w:hint="eastAsia"/>
          <w:color w:val="auto"/>
          <w:lang w:eastAsia="zh-CN"/>
        </w:rPr>
        <w:t>）</w:t>
      </w:r>
      <w:r>
        <w:rPr>
          <w:rFonts w:hint="eastAsia"/>
          <w:color w:val="auto"/>
        </w:rPr>
        <w:t>，然后将一块培养好的木粒菌种塞入孔内，并用锤子敲平。</w:t>
      </w:r>
    </w:p>
    <w:p>
      <w:pPr>
        <w:pStyle w:val="19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r>
        <w:rPr>
          <w:color w:val="auto"/>
        </w:rPr>
        <w:t>6.3.3</w:t>
      </w:r>
      <w:r>
        <w:rPr>
          <w:rFonts w:hint="eastAsia"/>
          <w:color w:val="auto"/>
        </w:rPr>
        <w:t>发菌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接种后的菇木，及时堆放在避风向阳的环境里，保温保湿，</w:t>
      </w:r>
      <w:r>
        <w:rPr>
          <w:rFonts w:hint="eastAsia"/>
          <w:color w:val="auto"/>
          <w:lang w:val="en-US" w:eastAsia="zh-CN"/>
        </w:rPr>
        <w:t>菇木含水量40%</w:t>
      </w:r>
      <w:r>
        <w:rPr>
          <w:rFonts w:hint="eastAsia"/>
          <w:color w:val="auto"/>
        </w:rPr>
        <w:t>～</w:t>
      </w:r>
      <w:r>
        <w:rPr>
          <w:rFonts w:hint="eastAsia"/>
          <w:color w:val="auto"/>
          <w:lang w:val="en-US" w:eastAsia="zh-CN"/>
        </w:rPr>
        <w:t>45%，</w:t>
      </w:r>
      <w:r>
        <w:rPr>
          <w:rFonts w:hint="eastAsia"/>
          <w:color w:val="auto"/>
        </w:rPr>
        <w:t>避免阳光直射，发菌时间</w:t>
      </w:r>
      <w:r>
        <w:rPr>
          <w:color w:val="auto"/>
        </w:rPr>
        <w:t>20</w:t>
      </w:r>
      <w:r>
        <w:rPr>
          <w:rFonts w:hint="eastAsia"/>
          <w:color w:val="auto"/>
        </w:rPr>
        <w:t>～</w:t>
      </w:r>
      <w:r>
        <w:rPr>
          <w:color w:val="auto"/>
        </w:rPr>
        <w:t>30</w:t>
      </w:r>
      <w:r>
        <w:rPr>
          <w:rFonts w:hint="eastAsia"/>
          <w:color w:val="auto"/>
        </w:rPr>
        <w:t>天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color w:val="auto"/>
          <w:lang w:val="en-US" w:eastAsia="zh-CN"/>
        </w:rPr>
        <w:t>间</w:t>
      </w:r>
      <w:r>
        <w:rPr>
          <w:rFonts w:hint="eastAsia"/>
          <w:color w:val="auto"/>
          <w:lang w:eastAsia="zh-CN"/>
        </w:rPr>
        <w:t>隔</w:t>
      </w:r>
      <w:r>
        <w:rPr>
          <w:rFonts w:hint="eastAsia"/>
          <w:color w:val="auto"/>
          <w:lang w:val="en-US" w:eastAsia="zh-CN"/>
        </w:rPr>
        <w:t>10</w:t>
      </w:r>
      <w:r>
        <w:rPr>
          <w:rFonts w:hint="eastAsia"/>
          <w:color w:val="auto"/>
        </w:rPr>
        <w:t>～</w:t>
      </w:r>
      <w:r>
        <w:rPr>
          <w:rFonts w:hint="eastAsia"/>
          <w:color w:val="auto"/>
          <w:lang w:val="en-US" w:eastAsia="zh-CN"/>
        </w:rPr>
        <w:t>15天</w:t>
      </w:r>
      <w:r>
        <w:rPr>
          <w:rFonts w:hint="eastAsia"/>
          <w:color w:val="auto"/>
          <w:lang w:eastAsia="zh-CN"/>
        </w:rPr>
        <w:t>要上下调换一次位置，上下菇木要相错开，以利通风，便于吸收水分</w:t>
      </w:r>
      <w:r>
        <w:rPr>
          <w:rFonts w:hint="eastAsia"/>
          <w:color w:val="auto"/>
        </w:rPr>
        <w:t>。一般有以下几种方法：</w:t>
      </w:r>
    </w:p>
    <w:p>
      <w:pPr>
        <w:pStyle w:val="20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r>
        <w:rPr>
          <w:color w:val="auto"/>
        </w:rPr>
        <w:t>6.3.3.1</w:t>
      </w:r>
      <w:r>
        <w:rPr>
          <w:rFonts w:hint="eastAsia"/>
          <w:color w:val="auto"/>
        </w:rPr>
        <w:t>井字形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适于地势平坦、场地湿度高，菇木含水量偏足的条件采用。首先在地面垫上枕木，将接种好的菇木以井字形堆成</w:t>
      </w:r>
      <w:r>
        <w:rPr>
          <w:rFonts w:hint="eastAsia"/>
          <w:color w:val="auto"/>
          <w:lang w:val="en-US" w:eastAsia="zh-CN"/>
        </w:rPr>
        <w:t>高度</w:t>
      </w:r>
      <w:r>
        <w:rPr>
          <w:rFonts w:hint="eastAsia"/>
          <w:color w:val="auto"/>
        </w:rPr>
        <w:t>≤</w:t>
      </w:r>
      <w:r>
        <w:rPr>
          <w:color w:val="auto"/>
        </w:rPr>
        <w:t>1.2m</w:t>
      </w:r>
      <w:r>
        <w:rPr>
          <w:rFonts w:hint="eastAsia"/>
          <w:color w:val="auto"/>
        </w:rPr>
        <w:t>的小堆，堆的上面和四周盖上树枝或茅草，防晒、保温、保湿。</w:t>
      </w:r>
    </w:p>
    <w:p>
      <w:pPr>
        <w:pStyle w:val="20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r>
        <w:rPr>
          <w:color w:val="auto"/>
        </w:rPr>
        <w:t>6.3.3.2</w:t>
      </w:r>
      <w:r>
        <w:rPr>
          <w:rFonts w:hint="eastAsia"/>
          <w:color w:val="auto"/>
        </w:rPr>
        <w:t>横堆式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菇场湿度、通风等条件中等，可采用横堆式。堆时先横放枕木，再在枕木上按同一方向堆放，堆高</w:t>
      </w:r>
      <w:r>
        <w:rPr>
          <w:color w:val="auto"/>
        </w:rPr>
        <w:t>1</w:t>
      </w:r>
      <w:r>
        <w:rPr>
          <w:rFonts w:hint="eastAsia"/>
          <w:color w:val="auto"/>
        </w:rPr>
        <w:t>米左右，上面或阳面覆盖茅草。</w:t>
      </w:r>
    </w:p>
    <w:p>
      <w:pPr>
        <w:pStyle w:val="20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r>
        <w:rPr>
          <w:color w:val="auto"/>
        </w:rPr>
        <w:t>6.3.3.3</w:t>
      </w:r>
      <w:r>
        <w:rPr>
          <w:rFonts w:hint="eastAsia"/>
          <w:color w:val="auto"/>
        </w:rPr>
        <w:t>覆瓦式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适于较干燥的菇场。先在地面上横放一根较粗的枕木，在枕木上斜向纵放</w:t>
      </w:r>
      <w:r>
        <w:rPr>
          <w:color w:val="auto"/>
        </w:rPr>
        <w:t>4</w:t>
      </w:r>
      <w:r>
        <w:rPr>
          <w:rFonts w:hint="eastAsia"/>
          <w:color w:val="auto"/>
        </w:rPr>
        <w:t>～</w:t>
      </w:r>
      <w:r>
        <w:rPr>
          <w:color w:val="auto"/>
        </w:rPr>
        <w:t>6</w:t>
      </w:r>
      <w:r>
        <w:rPr>
          <w:rFonts w:hint="eastAsia"/>
          <w:color w:val="auto"/>
        </w:rPr>
        <w:t>根菇木，再在菇木上横放一根枕木，再斜向纵放</w:t>
      </w:r>
      <w:r>
        <w:rPr>
          <w:color w:val="auto"/>
        </w:rPr>
        <w:t>4</w:t>
      </w:r>
      <w:r>
        <w:rPr>
          <w:rFonts w:hint="eastAsia"/>
          <w:color w:val="auto"/>
        </w:rPr>
        <w:t>～</w:t>
      </w:r>
      <w:r>
        <w:rPr>
          <w:color w:val="auto"/>
        </w:rPr>
        <w:t>6</w:t>
      </w:r>
      <w:r>
        <w:rPr>
          <w:rFonts w:hint="eastAsia"/>
          <w:color w:val="auto"/>
        </w:rPr>
        <w:t>根菇木，以此类推，阶梯形依次摆放。</w:t>
      </w:r>
    </w:p>
    <w:p>
      <w:pPr>
        <w:pStyle w:val="17"/>
        <w:numPr>
          <w:ilvl w:val="0"/>
          <w:numId w:val="0"/>
        </w:numPr>
        <w:spacing w:before="156" w:after="156"/>
        <w:rPr>
          <w:rFonts w:hint="eastAsia"/>
          <w:color w:val="auto"/>
        </w:rPr>
      </w:pPr>
      <w:bookmarkStart w:id="174" w:name="_Toc459712115"/>
      <w:bookmarkStart w:id="175" w:name="_Toc459711945"/>
      <w:bookmarkStart w:id="176" w:name="_Toc459712223"/>
      <w:bookmarkStart w:id="177" w:name="_Toc459712030"/>
      <w:r>
        <w:rPr>
          <w:color w:val="auto"/>
        </w:rPr>
        <w:t>6.3.4</w:t>
      </w:r>
      <w:r>
        <w:rPr>
          <w:rFonts w:hint="eastAsia"/>
          <w:color w:val="auto"/>
          <w:lang w:val="en-US" w:eastAsia="zh-CN"/>
        </w:rPr>
        <w:t>养菌及</w:t>
      </w:r>
      <w:r>
        <w:rPr>
          <w:rFonts w:hint="eastAsia"/>
          <w:color w:val="auto"/>
          <w:lang w:eastAsia="zh-CN"/>
        </w:rPr>
        <w:t>出菇期</w:t>
      </w:r>
      <w:r>
        <w:rPr>
          <w:rFonts w:hint="eastAsia"/>
          <w:color w:val="auto"/>
        </w:rPr>
        <w:t>管理</w:t>
      </w:r>
      <w:bookmarkEnd w:id="174"/>
      <w:bookmarkEnd w:id="175"/>
      <w:bookmarkEnd w:id="176"/>
      <w:bookmarkEnd w:id="177"/>
    </w:p>
    <w:p>
      <w:pPr>
        <w:pStyle w:val="11"/>
        <w:rPr>
          <w:rFonts w:hint="eastAsia" w:eastAsia="宋体"/>
          <w:color w:val="auto"/>
          <w:lang w:eastAsia="zh-CN"/>
        </w:rPr>
      </w:pPr>
      <w:r>
        <w:rPr>
          <w:rFonts w:hint="eastAsia"/>
          <w:color w:val="auto"/>
        </w:rPr>
        <w:t>场地温度控制在20℃～25℃，</w:t>
      </w:r>
      <w:r>
        <w:rPr>
          <w:rFonts w:hint="eastAsia"/>
          <w:color w:val="auto"/>
          <w:lang w:val="en-US" w:eastAsia="zh-CN"/>
        </w:rPr>
        <w:t>空气相对湿度80%</w:t>
      </w:r>
      <w:r>
        <w:rPr>
          <w:rFonts w:hint="eastAsia"/>
          <w:color w:val="auto"/>
        </w:rPr>
        <w:t>～</w:t>
      </w:r>
      <w:r>
        <w:rPr>
          <w:rFonts w:hint="eastAsia"/>
          <w:color w:val="auto"/>
          <w:lang w:val="en-US" w:eastAsia="zh-CN"/>
        </w:rPr>
        <w:t>90%，菇木含水量50%</w:t>
      </w:r>
      <w:r>
        <w:rPr>
          <w:rFonts w:hint="eastAsia"/>
          <w:color w:val="auto"/>
        </w:rPr>
        <w:t>～</w:t>
      </w:r>
      <w:r>
        <w:rPr>
          <w:rFonts w:hint="eastAsia"/>
          <w:color w:val="auto"/>
          <w:lang w:val="en-US" w:eastAsia="zh-CN"/>
        </w:rPr>
        <w:t>60%，</w:t>
      </w:r>
      <w:r>
        <w:rPr>
          <w:rFonts w:hint="eastAsia"/>
          <w:color w:val="auto"/>
        </w:rPr>
        <w:t>堆高≤1.2m</w:t>
      </w:r>
      <w:r>
        <w:rPr>
          <w:rFonts w:hint="eastAsia"/>
          <w:color w:val="auto"/>
          <w:lang w:eastAsia="zh-CN"/>
        </w:rPr>
        <w:t>，菇木周围的杂草除净、保证菇场通风，透气。</w:t>
      </w:r>
    </w:p>
    <w:p>
      <w:pPr>
        <w:pStyle w:val="19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r>
        <w:rPr>
          <w:color w:val="auto"/>
        </w:rPr>
        <w:t>6.3.4.1</w:t>
      </w:r>
      <w:r>
        <w:rPr>
          <w:rFonts w:hint="eastAsia"/>
          <w:color w:val="auto"/>
        </w:rPr>
        <w:t>养菌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堆垛初期，垛顶和四周要盖有枝叶或茅草。接菌早、气温低时，为了保温，垛上可覆盖一层塑料薄膜。如果堆内温度超过</w:t>
      </w:r>
      <w:r>
        <w:rPr>
          <w:color w:val="auto"/>
        </w:rPr>
        <w:t>25</w:t>
      </w:r>
      <w:r>
        <w:rPr>
          <w:rFonts w:hint="eastAsia"/>
          <w:color w:val="auto"/>
        </w:rPr>
        <w:t>℃时，应将薄膜去掉。天气进入高温时期，将堆面遮荫改为搭凉棚遮荫。</w:t>
      </w:r>
    </w:p>
    <w:p>
      <w:pPr>
        <w:pStyle w:val="19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r>
        <w:rPr>
          <w:color w:val="auto"/>
        </w:rPr>
        <w:t>6.3.4.2</w:t>
      </w:r>
      <w:r>
        <w:rPr>
          <w:rFonts w:hint="eastAsia"/>
          <w:color w:val="auto"/>
        </w:rPr>
        <w:t>浸水催菇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浸泡水温低于菇木温度</w:t>
      </w:r>
      <w:r>
        <w:rPr>
          <w:color w:val="auto"/>
        </w:rPr>
        <w:t>5</w:t>
      </w:r>
      <w:r>
        <w:rPr>
          <w:rFonts w:hint="eastAsia"/>
          <w:color w:val="auto"/>
        </w:rPr>
        <w:t>℃～</w:t>
      </w:r>
      <w:r>
        <w:rPr>
          <w:color w:val="auto"/>
        </w:rPr>
        <w:t>10</w:t>
      </w:r>
      <w:r>
        <w:rPr>
          <w:rFonts w:hint="eastAsia"/>
          <w:color w:val="auto"/>
        </w:rPr>
        <w:t>℃，时间</w:t>
      </w:r>
      <w:r>
        <w:rPr>
          <w:color w:val="auto"/>
        </w:rPr>
        <w:t>12</w:t>
      </w:r>
      <w:r>
        <w:rPr>
          <w:rFonts w:hint="eastAsia"/>
          <w:color w:val="auto"/>
        </w:rPr>
        <w:t>至</w:t>
      </w:r>
      <w:r>
        <w:rPr>
          <w:color w:val="auto"/>
        </w:rPr>
        <w:t>14</w:t>
      </w:r>
      <w:r>
        <w:rPr>
          <w:rFonts w:hint="eastAsia"/>
          <w:color w:val="auto"/>
        </w:rPr>
        <w:t>小时，促使菌丝扭结形成原基。</w:t>
      </w:r>
    </w:p>
    <w:p>
      <w:pPr>
        <w:pStyle w:val="19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r>
        <w:rPr>
          <w:color w:val="auto"/>
        </w:rPr>
        <w:t>6.3.4.3</w:t>
      </w:r>
      <w:r>
        <w:rPr>
          <w:rFonts w:hint="eastAsia"/>
          <w:color w:val="auto"/>
        </w:rPr>
        <w:t>淋水催蕾</w:t>
      </w:r>
    </w:p>
    <w:p>
      <w:pPr>
        <w:pStyle w:val="11"/>
        <w:rPr>
          <w:rFonts w:hint="eastAsia"/>
          <w:color w:val="auto"/>
        </w:rPr>
      </w:pPr>
      <w:bookmarkStart w:id="178" w:name="_Toc459712031"/>
      <w:bookmarkStart w:id="179" w:name="_Toc459711946"/>
      <w:bookmarkStart w:id="180" w:name="_Toc459712116"/>
      <w:bookmarkStart w:id="181" w:name="_Toc459712224"/>
      <w:r>
        <w:rPr>
          <w:rFonts w:hint="eastAsia"/>
          <w:color w:val="auto"/>
        </w:rPr>
        <w:t>将浸水后的菇木呈“井”字形堆架</w:t>
      </w:r>
      <w:r>
        <w:rPr>
          <w:color w:val="auto"/>
        </w:rPr>
        <w:t>2</w:t>
      </w:r>
      <w:r>
        <w:rPr>
          <w:rFonts w:hint="eastAsia"/>
          <w:color w:val="auto"/>
        </w:rPr>
        <w:t>至</w:t>
      </w:r>
      <w:r>
        <w:rPr>
          <w:color w:val="auto"/>
        </w:rPr>
        <w:t>3</w:t>
      </w:r>
      <w:r>
        <w:rPr>
          <w:rFonts w:hint="eastAsia"/>
          <w:color w:val="auto"/>
        </w:rPr>
        <w:t>天后，以草席或塑料薄膜包盖。无法浸泡的菇场将菇木架成“人”字形或覆瓦形，每天间隙淋喷</w:t>
      </w:r>
      <w:r>
        <w:rPr>
          <w:color w:val="auto"/>
        </w:rPr>
        <w:t>8</w:t>
      </w:r>
      <w:r>
        <w:rPr>
          <w:rFonts w:hint="eastAsia"/>
          <w:color w:val="auto"/>
        </w:rPr>
        <w:t>至</w:t>
      </w:r>
      <w:r>
        <w:rPr>
          <w:color w:val="auto"/>
        </w:rPr>
        <w:t>12</w:t>
      </w:r>
      <w:r>
        <w:rPr>
          <w:rFonts w:hint="eastAsia"/>
          <w:color w:val="auto"/>
        </w:rPr>
        <w:t>小时，持续</w:t>
      </w:r>
      <w:r>
        <w:rPr>
          <w:color w:val="auto"/>
        </w:rPr>
        <w:t>3</w:t>
      </w:r>
      <w:r>
        <w:rPr>
          <w:rFonts w:hint="eastAsia"/>
          <w:color w:val="auto"/>
        </w:rPr>
        <w:t>至</w:t>
      </w:r>
      <w:r>
        <w:rPr>
          <w:color w:val="auto"/>
        </w:rPr>
        <w:t>4</w:t>
      </w:r>
      <w:r>
        <w:rPr>
          <w:rFonts w:hint="eastAsia"/>
          <w:color w:val="auto"/>
        </w:rPr>
        <w:t>天，至菇蕾发生，冬天可搭棚增温。</w:t>
      </w:r>
      <w:bookmarkEnd w:id="178"/>
      <w:bookmarkEnd w:id="179"/>
      <w:bookmarkEnd w:id="180"/>
      <w:bookmarkEnd w:id="181"/>
    </w:p>
    <w:p>
      <w:pPr>
        <w:pStyle w:val="13"/>
        <w:spacing w:before="156" w:after="156"/>
        <w:rPr>
          <w:rFonts w:cs="Times New Roman"/>
          <w:color w:val="auto"/>
        </w:rPr>
      </w:pPr>
      <w:bookmarkStart w:id="182" w:name="_Toc459712305"/>
      <w:bookmarkStart w:id="183" w:name="_Toc459712032"/>
      <w:bookmarkStart w:id="184" w:name="_Toc459712551"/>
      <w:bookmarkStart w:id="185" w:name="_Toc459712117"/>
      <w:bookmarkStart w:id="186" w:name="_Toc459712225"/>
      <w:bookmarkStart w:id="187" w:name="_Toc459739750"/>
      <w:bookmarkStart w:id="188" w:name="_Toc459712402"/>
      <w:bookmarkStart w:id="189" w:name="_Toc459711947"/>
      <w:bookmarkStart w:id="190" w:name="_Toc455954979"/>
      <w:r>
        <w:rPr>
          <w:rFonts w:hint="eastAsia"/>
          <w:color w:val="auto"/>
        </w:rPr>
        <w:t>病虫害防治</w:t>
      </w:r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</w:p>
    <w:p>
      <w:pPr>
        <w:pStyle w:val="17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bookmarkStart w:id="191" w:name="_Toc459712033"/>
      <w:bookmarkStart w:id="192" w:name="_Toc459712118"/>
      <w:bookmarkStart w:id="193" w:name="_Toc459712226"/>
      <w:bookmarkStart w:id="194" w:name="_Toc459711948"/>
      <w:r>
        <w:rPr>
          <w:color w:val="auto"/>
        </w:rPr>
        <w:t>6.4.1</w:t>
      </w:r>
      <w:r>
        <w:rPr>
          <w:rFonts w:hint="eastAsia"/>
          <w:color w:val="auto"/>
        </w:rPr>
        <w:t>主要病虫害</w:t>
      </w:r>
      <w:bookmarkEnd w:id="191"/>
      <w:bookmarkEnd w:id="192"/>
      <w:bookmarkEnd w:id="193"/>
      <w:bookmarkEnd w:id="194"/>
    </w:p>
    <w:p>
      <w:pPr>
        <w:pStyle w:val="19"/>
        <w:spacing w:before="156" w:after="156"/>
        <w:rPr>
          <w:rFonts w:cs="Times New Roman"/>
          <w:color w:val="auto"/>
        </w:rPr>
      </w:pPr>
      <w:r>
        <w:rPr>
          <w:rFonts w:hint="eastAsia"/>
          <w:color w:val="auto"/>
        </w:rPr>
        <w:t>常见病害</w:t>
      </w:r>
      <w:r>
        <w:rPr>
          <w:color w:val="auto"/>
        </w:rPr>
        <w:t xml:space="preserve"> 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绿霉病、木霉病、曲霉病、毛霉病、细菌性病害。</w:t>
      </w:r>
    </w:p>
    <w:p>
      <w:pPr>
        <w:pStyle w:val="19"/>
        <w:spacing w:before="156" w:after="156"/>
        <w:rPr>
          <w:rFonts w:cs="Times New Roman"/>
          <w:color w:val="auto"/>
        </w:rPr>
      </w:pPr>
      <w:r>
        <w:rPr>
          <w:rFonts w:hint="eastAsia"/>
          <w:color w:val="auto"/>
        </w:rPr>
        <w:t>主要虫害</w:t>
      </w:r>
      <w:r>
        <w:rPr>
          <w:color w:val="auto"/>
        </w:rPr>
        <w:t xml:space="preserve"> 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蕈蚊、瘿蚊等虫害。</w:t>
      </w:r>
    </w:p>
    <w:p>
      <w:pPr>
        <w:pStyle w:val="17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bookmarkStart w:id="195" w:name="_Toc459711949"/>
      <w:bookmarkStart w:id="196" w:name="_Toc459712227"/>
      <w:bookmarkStart w:id="197" w:name="_Toc459712034"/>
      <w:bookmarkStart w:id="198" w:name="_Toc459712119"/>
      <w:r>
        <w:rPr>
          <w:color w:val="auto"/>
        </w:rPr>
        <w:t>6.4.2</w:t>
      </w:r>
      <w:r>
        <w:rPr>
          <w:rFonts w:hint="eastAsia"/>
          <w:color w:val="auto"/>
        </w:rPr>
        <w:t>防治方法</w:t>
      </w:r>
      <w:bookmarkEnd w:id="195"/>
      <w:bookmarkEnd w:id="196"/>
      <w:bookmarkEnd w:id="197"/>
      <w:bookmarkEnd w:id="198"/>
    </w:p>
    <w:p>
      <w:pPr>
        <w:pStyle w:val="19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r>
        <w:rPr>
          <w:color w:val="auto"/>
        </w:rPr>
        <w:t>6.4.2.1</w:t>
      </w:r>
      <w:r>
        <w:rPr>
          <w:rFonts w:hint="eastAsia"/>
          <w:color w:val="auto"/>
        </w:rPr>
        <w:t>农业防治</w:t>
      </w:r>
      <w:r>
        <w:rPr>
          <w:color w:val="auto"/>
        </w:rPr>
        <w:t xml:space="preserve"> 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选用抗逆性强的品种。</w:t>
      </w:r>
    </w:p>
    <w:p>
      <w:pPr>
        <w:pStyle w:val="19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r>
        <w:rPr>
          <w:color w:val="auto"/>
        </w:rPr>
        <w:t>6.4.2.2</w:t>
      </w:r>
      <w:r>
        <w:rPr>
          <w:rFonts w:hint="eastAsia"/>
          <w:color w:val="auto"/>
        </w:rPr>
        <w:t>物理防治</w:t>
      </w:r>
      <w:r>
        <w:rPr>
          <w:color w:val="auto"/>
        </w:rPr>
        <w:t xml:space="preserve"> 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及时拣出感病菌棒；保持清洁卫生。</w:t>
      </w:r>
    </w:p>
    <w:p>
      <w:pPr>
        <w:pStyle w:val="19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r>
        <w:rPr>
          <w:color w:val="auto"/>
        </w:rPr>
        <w:t>6.4.2.3</w:t>
      </w:r>
      <w:r>
        <w:rPr>
          <w:rFonts w:hint="eastAsia"/>
          <w:color w:val="auto"/>
        </w:rPr>
        <w:t>化学防治</w:t>
      </w:r>
      <w:r>
        <w:rPr>
          <w:color w:val="auto"/>
        </w:rPr>
        <w:t xml:space="preserve"> </w:t>
      </w:r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药剂、使用剂量与方法按</w:t>
      </w:r>
      <w:r>
        <w:rPr>
          <w:color w:val="auto"/>
        </w:rPr>
        <w:t>GB/4285</w:t>
      </w:r>
      <w:r>
        <w:rPr>
          <w:rFonts w:hint="eastAsia"/>
          <w:color w:val="auto"/>
          <w:lang w:val="en-US" w:eastAsia="zh-CN"/>
        </w:rPr>
        <w:t>-89</w:t>
      </w:r>
      <w:r>
        <w:rPr>
          <w:rFonts w:hint="eastAsia"/>
          <w:color w:val="auto"/>
        </w:rPr>
        <w:t>、</w:t>
      </w:r>
      <w:r>
        <w:rPr>
          <w:color w:val="auto"/>
        </w:rPr>
        <w:t>NY 5099</w:t>
      </w:r>
      <w:r>
        <w:rPr>
          <w:rFonts w:hint="eastAsia"/>
          <w:color w:val="auto"/>
          <w:lang w:val="en-US" w:eastAsia="zh-CN"/>
        </w:rPr>
        <w:t>-2002</w:t>
      </w:r>
      <w:r>
        <w:rPr>
          <w:rFonts w:hint="eastAsia"/>
          <w:color w:val="auto"/>
        </w:rPr>
        <w:t>执行。</w:t>
      </w:r>
    </w:p>
    <w:p>
      <w:pPr>
        <w:pStyle w:val="13"/>
        <w:spacing w:before="156" w:after="156"/>
        <w:rPr>
          <w:rFonts w:cs="Times New Roman"/>
          <w:color w:val="auto"/>
        </w:rPr>
      </w:pPr>
      <w:bookmarkStart w:id="199" w:name="_Toc459711950"/>
      <w:bookmarkStart w:id="200" w:name="_Toc459712552"/>
      <w:bookmarkStart w:id="201" w:name="_Toc459739751"/>
      <w:bookmarkStart w:id="202" w:name="_Toc459712120"/>
      <w:bookmarkStart w:id="203" w:name="_Toc459712306"/>
      <w:bookmarkStart w:id="204" w:name="_Toc459712228"/>
      <w:bookmarkStart w:id="205" w:name="_Toc459712403"/>
      <w:bookmarkStart w:id="206" w:name="_Toc459712035"/>
      <w:r>
        <w:rPr>
          <w:rFonts w:hint="eastAsia"/>
          <w:color w:val="auto"/>
        </w:rPr>
        <w:t>采收与加工</w:t>
      </w:r>
      <w:bookmarkEnd w:id="199"/>
      <w:bookmarkEnd w:id="200"/>
      <w:bookmarkEnd w:id="201"/>
      <w:bookmarkEnd w:id="202"/>
      <w:bookmarkEnd w:id="203"/>
      <w:bookmarkEnd w:id="204"/>
      <w:bookmarkEnd w:id="205"/>
      <w:bookmarkEnd w:id="206"/>
    </w:p>
    <w:p>
      <w:pPr>
        <w:pStyle w:val="17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bookmarkStart w:id="207" w:name="_Toc459711951"/>
      <w:bookmarkStart w:id="208" w:name="_Toc459712036"/>
      <w:bookmarkStart w:id="209" w:name="_Toc459712121"/>
      <w:bookmarkStart w:id="210" w:name="_Toc459712229"/>
      <w:r>
        <w:rPr>
          <w:color w:val="auto"/>
        </w:rPr>
        <w:t>6.5.1</w:t>
      </w:r>
      <w:r>
        <w:rPr>
          <w:rFonts w:hint="eastAsia"/>
          <w:color w:val="auto"/>
        </w:rPr>
        <w:t>采收</w:t>
      </w:r>
      <w:bookmarkEnd w:id="207"/>
      <w:bookmarkEnd w:id="208"/>
      <w:bookmarkEnd w:id="209"/>
      <w:bookmarkEnd w:id="210"/>
    </w:p>
    <w:p>
      <w:pPr>
        <w:pStyle w:val="19"/>
        <w:spacing w:before="156" w:after="156"/>
        <w:rPr>
          <w:rFonts w:cs="Times New Roman"/>
          <w:color w:val="auto"/>
        </w:rPr>
      </w:pPr>
      <w:bookmarkStart w:id="211" w:name="_Toc459711952"/>
      <w:bookmarkStart w:id="212" w:name="_Toc459712037"/>
      <w:bookmarkStart w:id="213" w:name="_Toc459712122"/>
      <w:bookmarkStart w:id="214" w:name="_Toc459712230"/>
      <w:r>
        <w:rPr>
          <w:rFonts w:hint="eastAsia"/>
          <w:color w:val="auto"/>
        </w:rPr>
        <w:t>标准</w:t>
      </w:r>
      <w:r>
        <w:rPr>
          <w:color w:val="auto"/>
        </w:rPr>
        <w:t xml:space="preserve"> </w:t>
      </w:r>
    </w:p>
    <w:p>
      <w:pPr>
        <w:pStyle w:val="11"/>
        <w:rPr>
          <w:color w:val="auto"/>
        </w:rPr>
      </w:pPr>
      <w:r>
        <w:rPr>
          <w:rFonts w:hint="eastAsia"/>
          <w:color w:val="auto"/>
        </w:rPr>
        <w:t>菌盖边缘稍内卷呈铜锣边</w:t>
      </w:r>
      <w:r>
        <w:rPr>
          <w:rFonts w:hint="eastAsia"/>
          <w:color w:val="auto"/>
          <w:lang w:eastAsia="zh-CN"/>
        </w:rPr>
        <w:t>状</w:t>
      </w:r>
      <w:r>
        <w:rPr>
          <w:rFonts w:hint="eastAsia"/>
          <w:color w:val="auto"/>
        </w:rPr>
        <w:t>，</w:t>
      </w:r>
      <w:r>
        <w:rPr>
          <w:rFonts w:hint="eastAsia"/>
          <w:color w:val="auto"/>
          <w:lang w:eastAsia="zh-CN"/>
        </w:rPr>
        <w:t>菌幕刚刚破裂，菌褶已全部伸直时，</w:t>
      </w:r>
      <w:r>
        <w:rPr>
          <w:rFonts w:hint="eastAsia"/>
          <w:color w:val="auto"/>
        </w:rPr>
        <w:t>及时采收。</w:t>
      </w:r>
      <w:bookmarkEnd w:id="211"/>
      <w:bookmarkEnd w:id="212"/>
      <w:bookmarkEnd w:id="213"/>
      <w:bookmarkEnd w:id="214"/>
      <w:r>
        <w:rPr>
          <w:color w:val="auto"/>
        </w:rPr>
        <w:t xml:space="preserve"> </w:t>
      </w:r>
    </w:p>
    <w:p>
      <w:pPr>
        <w:pStyle w:val="19"/>
        <w:spacing w:before="156" w:after="156"/>
        <w:rPr>
          <w:rFonts w:cs="Times New Roman"/>
          <w:color w:val="auto"/>
        </w:rPr>
      </w:pPr>
      <w:r>
        <w:rPr>
          <w:rFonts w:hint="eastAsia"/>
          <w:color w:val="auto"/>
        </w:rPr>
        <w:t>方法</w:t>
      </w:r>
      <w:r>
        <w:rPr>
          <w:color w:val="auto"/>
        </w:rPr>
        <w:t xml:space="preserve"> </w:t>
      </w:r>
    </w:p>
    <w:p>
      <w:pPr>
        <w:pStyle w:val="11"/>
        <w:rPr>
          <w:rFonts w:hint="eastAsia" w:eastAsia="宋体" w:cs="Times New Roman"/>
          <w:color w:val="auto"/>
          <w:lang w:eastAsia="zh-CN"/>
        </w:rPr>
      </w:pPr>
      <w:r>
        <w:rPr>
          <w:rFonts w:hint="eastAsia"/>
          <w:color w:val="auto"/>
        </w:rPr>
        <w:t>采收用大、食、中指捏菇柄下端，向左右轻轻旋转采下。要轻拿轻放，小心装运，防止挤压破损，以免影响香菇质量</w:t>
      </w:r>
      <w:r>
        <w:rPr>
          <w:rFonts w:hint="eastAsia"/>
          <w:color w:val="auto"/>
          <w:lang w:eastAsia="zh-CN"/>
        </w:rPr>
        <w:t>。</w:t>
      </w:r>
    </w:p>
    <w:p>
      <w:pPr>
        <w:pStyle w:val="17"/>
        <w:numPr>
          <w:ilvl w:val="0"/>
          <w:numId w:val="0"/>
        </w:numPr>
        <w:spacing w:before="156" w:after="156"/>
        <w:rPr>
          <w:rFonts w:cs="Times New Roman"/>
          <w:color w:val="auto"/>
        </w:rPr>
      </w:pPr>
      <w:bookmarkStart w:id="215" w:name="_Toc459712038"/>
      <w:bookmarkStart w:id="216" w:name="_Toc459712123"/>
      <w:bookmarkStart w:id="217" w:name="_Toc459711953"/>
      <w:bookmarkStart w:id="218" w:name="_Toc459712231"/>
      <w:r>
        <w:rPr>
          <w:color w:val="auto"/>
        </w:rPr>
        <w:t>6.5.2</w:t>
      </w:r>
      <w:r>
        <w:rPr>
          <w:rFonts w:hint="eastAsia"/>
          <w:color w:val="auto"/>
        </w:rPr>
        <w:t>加工</w:t>
      </w:r>
      <w:bookmarkEnd w:id="215"/>
      <w:bookmarkEnd w:id="216"/>
      <w:bookmarkEnd w:id="217"/>
      <w:bookmarkEnd w:id="218"/>
    </w:p>
    <w:p>
      <w:pPr>
        <w:pStyle w:val="11"/>
        <w:rPr>
          <w:rFonts w:cs="Times New Roman"/>
          <w:color w:val="auto"/>
        </w:rPr>
      </w:pPr>
      <w:r>
        <w:rPr>
          <w:rFonts w:hint="eastAsia"/>
          <w:color w:val="auto"/>
        </w:rPr>
        <w:t>采收后置于烤筛或席片上，单层摊开。干香菇烘干脱水（含水量≤</w:t>
      </w:r>
      <w:r>
        <w:rPr>
          <w:color w:val="auto"/>
        </w:rPr>
        <w:t>13%</w:t>
      </w:r>
      <w:r>
        <w:rPr>
          <w:rFonts w:hint="eastAsia"/>
          <w:color w:val="auto"/>
        </w:rPr>
        <w:t>），加工、包装。</w:t>
      </w:r>
    </w:p>
    <w:p>
      <w:pPr>
        <w:pStyle w:val="16"/>
        <w:spacing w:before="312" w:after="312"/>
        <w:rPr>
          <w:rFonts w:cs="Times New Roman"/>
          <w:color w:val="auto"/>
        </w:rPr>
      </w:pPr>
      <w:bookmarkStart w:id="219" w:name="_Toc459711954"/>
      <w:bookmarkStart w:id="220" w:name="_Toc459742966"/>
      <w:bookmarkStart w:id="221" w:name="_Toc459712232"/>
      <w:bookmarkStart w:id="222" w:name="_Toc459737907"/>
      <w:bookmarkStart w:id="223" w:name="_Toc459712404"/>
      <w:bookmarkStart w:id="224" w:name="_Toc459712191"/>
      <w:bookmarkStart w:id="225" w:name="_Toc459712124"/>
      <w:bookmarkStart w:id="226" w:name="_Toc459712350"/>
      <w:bookmarkStart w:id="227" w:name="_Toc459712373"/>
      <w:bookmarkStart w:id="228" w:name="_Toc459712553"/>
      <w:bookmarkStart w:id="229" w:name="_Toc459742385"/>
      <w:bookmarkStart w:id="230" w:name="_Toc459743076"/>
      <w:bookmarkStart w:id="231" w:name="_Toc459742594"/>
      <w:bookmarkStart w:id="232" w:name="_Toc459739752"/>
      <w:bookmarkStart w:id="233" w:name="_Toc459712307"/>
      <w:bookmarkStart w:id="234" w:name="_Toc459712447"/>
      <w:bookmarkStart w:id="235" w:name="_Toc459736660"/>
      <w:bookmarkStart w:id="236" w:name="_Toc459711730"/>
      <w:bookmarkStart w:id="237" w:name="_Toc459712606"/>
      <w:bookmarkStart w:id="238" w:name="_Toc459712039"/>
      <w:r>
        <w:rPr>
          <w:rFonts w:hint="eastAsia"/>
          <w:color w:val="auto"/>
        </w:rPr>
        <w:t>要求</w:t>
      </w:r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bookmarkEnd w:id="238"/>
    </w:p>
    <w:p>
      <w:pPr>
        <w:pStyle w:val="13"/>
        <w:spacing w:before="156" w:after="156"/>
        <w:rPr>
          <w:rFonts w:cs="Times New Roman"/>
          <w:color w:val="auto"/>
        </w:rPr>
      </w:pPr>
      <w:bookmarkStart w:id="239" w:name="_Toc459712040"/>
      <w:bookmarkStart w:id="240" w:name="_Toc459712405"/>
      <w:bookmarkStart w:id="241" w:name="_Toc459712554"/>
      <w:bookmarkStart w:id="242" w:name="_Toc459712125"/>
      <w:bookmarkStart w:id="243" w:name="_Toc459711955"/>
      <w:bookmarkStart w:id="244" w:name="_Toc459712233"/>
      <w:bookmarkStart w:id="245" w:name="_Toc459739753"/>
      <w:bookmarkStart w:id="246" w:name="_Toc459712308"/>
      <w:r>
        <w:rPr>
          <w:rFonts w:hint="eastAsia"/>
          <w:color w:val="auto"/>
        </w:rPr>
        <w:t>感官指标</w:t>
      </w:r>
      <w:bookmarkEnd w:id="239"/>
      <w:bookmarkEnd w:id="240"/>
      <w:bookmarkEnd w:id="241"/>
      <w:bookmarkEnd w:id="242"/>
      <w:bookmarkEnd w:id="243"/>
      <w:bookmarkEnd w:id="244"/>
      <w:bookmarkEnd w:id="245"/>
      <w:bookmarkEnd w:id="246"/>
    </w:p>
    <w:p>
      <w:pPr>
        <w:pStyle w:val="11"/>
        <w:rPr>
          <w:rFonts w:hint="eastAsia"/>
          <w:color w:val="auto"/>
        </w:rPr>
      </w:pPr>
      <w:bookmarkStart w:id="247" w:name="_Toc459712555"/>
      <w:bookmarkStart w:id="248" w:name="_Toc459712234"/>
      <w:bookmarkStart w:id="249" w:name="_Toc459712406"/>
      <w:bookmarkStart w:id="250" w:name="_Toc459712309"/>
      <w:bookmarkStart w:id="251" w:name="_Toc459711956"/>
      <w:bookmarkStart w:id="252" w:name="_Toc459739754"/>
      <w:bookmarkStart w:id="253" w:name="_Toc459712041"/>
      <w:bookmarkStart w:id="254" w:name="_Toc459712126"/>
      <w:r>
        <w:rPr>
          <w:rFonts w:hint="eastAsia"/>
          <w:color w:val="auto"/>
        </w:rPr>
        <w:t>感官指标应符合表</w:t>
      </w:r>
      <w:r>
        <w:rPr>
          <w:color w:val="auto"/>
        </w:rPr>
        <w:t>1</w:t>
      </w:r>
      <w:r>
        <w:rPr>
          <w:rFonts w:hint="eastAsia"/>
          <w:color w:val="auto"/>
        </w:rPr>
        <w:t>规定。</w:t>
      </w:r>
      <w:bookmarkEnd w:id="247"/>
      <w:bookmarkEnd w:id="248"/>
      <w:bookmarkEnd w:id="249"/>
      <w:bookmarkEnd w:id="250"/>
      <w:bookmarkEnd w:id="251"/>
      <w:bookmarkEnd w:id="252"/>
      <w:bookmarkEnd w:id="253"/>
      <w:bookmarkEnd w:id="254"/>
    </w:p>
    <w:p>
      <w:pPr>
        <w:pStyle w:val="11"/>
        <w:rPr>
          <w:rFonts w:hint="eastAsia"/>
          <w:color w:val="auto"/>
        </w:rPr>
      </w:pPr>
    </w:p>
    <w:p>
      <w:pPr>
        <w:jc w:val="center"/>
        <w:rPr>
          <w:color w:val="auto"/>
        </w:rPr>
      </w:pPr>
      <w:r>
        <w:rPr>
          <w:rFonts w:hint="eastAsia" w:cs="宋体"/>
          <w:color w:val="auto"/>
        </w:rPr>
        <w:t>表</w:t>
      </w:r>
      <w:r>
        <w:rPr>
          <w:color w:val="auto"/>
        </w:rPr>
        <w:t>1</w:t>
      </w:r>
      <w:r>
        <w:rPr>
          <w:rFonts w:hint="eastAsia" w:cs="宋体"/>
          <w:color w:val="auto"/>
        </w:rPr>
        <w:t>地理标志保护产品</w:t>
      </w:r>
      <w:r>
        <w:rPr>
          <w:color w:val="auto"/>
        </w:rPr>
        <w:t xml:space="preserve"> </w:t>
      </w:r>
      <w:r>
        <w:rPr>
          <w:rFonts w:hint="eastAsia" w:cs="宋体"/>
          <w:color w:val="auto"/>
        </w:rPr>
        <w:t>利州香菇的感官指标</w:t>
      </w:r>
    </w:p>
    <w:tbl>
      <w:tblPr>
        <w:tblStyle w:val="7"/>
        <w:tblW w:w="946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3048"/>
        <w:gridCol w:w="5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305" w:type="dxa"/>
            <w:gridSpan w:val="2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项</w:t>
            </w:r>
            <w:r>
              <w:rPr>
                <w:color w:val="auto"/>
              </w:rPr>
              <w:t xml:space="preserve"> </w:t>
            </w:r>
            <w:r>
              <w:rPr>
                <w:rFonts w:hint="eastAsia" w:cs="宋体"/>
                <w:color w:val="auto"/>
              </w:rPr>
              <w:t>目</w:t>
            </w:r>
          </w:p>
        </w:tc>
        <w:tc>
          <w:tcPr>
            <w:tcW w:w="5157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要</w:t>
            </w:r>
            <w:r>
              <w:rPr>
                <w:color w:val="auto"/>
              </w:rPr>
              <w:t xml:space="preserve"> </w:t>
            </w:r>
            <w:r>
              <w:rPr>
                <w:rFonts w:hint="eastAsia" w:cs="宋体"/>
                <w:color w:val="auto"/>
              </w:rPr>
              <w:t>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5" w:type="dxa"/>
            <w:gridSpan w:val="2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外观</w:t>
            </w:r>
          </w:p>
        </w:tc>
        <w:tc>
          <w:tcPr>
            <w:tcW w:w="5157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柄短，菌盖圆整肥厚，卷边大，菌褶整齐，开伞度≤</w:t>
            </w:r>
            <w:r>
              <w:rPr>
                <w:color w:val="auto"/>
              </w:rPr>
              <w:t>7</w:t>
            </w:r>
            <w:r>
              <w:rPr>
                <w:rFonts w:hint="eastAsia" w:cs="宋体"/>
                <w:color w:val="auto"/>
              </w:rPr>
              <w:t>；花菇裂纹深，花纹自然，灰白色。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5" w:type="dxa"/>
            <w:gridSpan w:val="2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气味</w:t>
            </w:r>
          </w:p>
        </w:tc>
        <w:tc>
          <w:tcPr>
            <w:tcW w:w="5157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有香菇特有的香味，无异味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5" w:type="dxa"/>
            <w:gridSpan w:val="2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霉烂菇</w:t>
            </w:r>
          </w:p>
        </w:tc>
        <w:tc>
          <w:tcPr>
            <w:tcW w:w="5157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5" w:type="dxa"/>
            <w:gridSpan w:val="2"/>
          </w:tcPr>
          <w:p>
            <w:pPr>
              <w:rPr>
                <w:color w:val="auto"/>
              </w:rPr>
            </w:pPr>
            <w:r>
              <w:rPr>
                <w:color w:val="auto"/>
              </w:rPr>
              <w:t xml:space="preserve">          </w:t>
            </w:r>
            <w:r>
              <w:rPr>
                <w:rFonts w:hint="eastAsia" w:cs="宋体"/>
                <w:color w:val="auto"/>
              </w:rPr>
              <w:t>虫蛀菇</w:t>
            </w:r>
            <w:r>
              <w:rPr>
                <w:color w:val="auto"/>
              </w:rPr>
              <w:t>/</w:t>
            </w:r>
            <w:r>
              <w:rPr>
                <w:rFonts w:hint="eastAsia" w:cs="宋体"/>
                <w:color w:val="auto"/>
              </w:rPr>
              <w:t>％</w:t>
            </w:r>
          </w:p>
        </w:tc>
        <w:tc>
          <w:tcPr>
            <w:tcW w:w="5157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≤</w:t>
            </w:r>
            <w:r>
              <w:rPr>
                <w:color w:val="auto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5" w:type="dxa"/>
            <w:gridSpan w:val="2"/>
          </w:tcPr>
          <w:p>
            <w:pPr>
              <w:rPr>
                <w:color w:val="auto"/>
              </w:rPr>
            </w:pPr>
            <w:r>
              <w:rPr>
                <w:color w:val="auto"/>
              </w:rPr>
              <w:t xml:space="preserve">          </w:t>
            </w:r>
            <w:r>
              <w:rPr>
                <w:rFonts w:hint="eastAsia" w:cs="宋体"/>
                <w:color w:val="auto"/>
              </w:rPr>
              <w:t>一般杂质</w:t>
            </w:r>
            <w:r>
              <w:rPr>
                <w:color w:val="auto"/>
              </w:rPr>
              <w:t>/</w:t>
            </w:r>
            <w:r>
              <w:rPr>
                <w:rFonts w:hint="eastAsia" w:cs="宋体"/>
                <w:color w:val="auto"/>
              </w:rPr>
              <w:t>％</w:t>
            </w:r>
          </w:p>
        </w:tc>
        <w:tc>
          <w:tcPr>
            <w:tcW w:w="5157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≤</w:t>
            </w:r>
            <w:r>
              <w:rPr>
                <w:color w:val="auto"/>
              </w:rPr>
              <w:t>0</w:t>
            </w:r>
            <w:r>
              <w:rPr>
                <w:rFonts w:hint="eastAsia" w:cs="宋体"/>
                <w:color w:val="auto"/>
              </w:rPr>
              <w:t>．</w:t>
            </w:r>
            <w:r>
              <w:rPr>
                <w:color w:val="auto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5" w:type="dxa"/>
            <w:gridSpan w:val="2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有害杂质</w:t>
            </w:r>
          </w:p>
        </w:tc>
        <w:tc>
          <w:tcPr>
            <w:tcW w:w="5157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vMerge w:val="restart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水</w:t>
            </w:r>
            <w:r>
              <w:rPr>
                <w:color w:val="auto"/>
              </w:rPr>
              <w:t xml:space="preserve"> </w:t>
            </w:r>
            <w:r>
              <w:rPr>
                <w:rFonts w:hint="eastAsia" w:cs="宋体"/>
                <w:color w:val="auto"/>
              </w:rPr>
              <w:t>份</w:t>
            </w:r>
          </w:p>
        </w:tc>
        <w:tc>
          <w:tcPr>
            <w:tcW w:w="3048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干香菇</w:t>
            </w:r>
            <w:r>
              <w:rPr>
                <w:color w:val="auto"/>
              </w:rPr>
              <w:t>/</w:t>
            </w:r>
            <w:r>
              <w:rPr>
                <w:rFonts w:hint="eastAsia" w:cs="宋体"/>
                <w:color w:val="auto"/>
              </w:rPr>
              <w:t>％</w:t>
            </w:r>
          </w:p>
        </w:tc>
        <w:tc>
          <w:tcPr>
            <w:tcW w:w="5157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≤</w:t>
            </w:r>
            <w:r>
              <w:rPr>
                <w:color w:val="auto"/>
              </w:rPr>
              <w:t>13.0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vMerge w:val="continue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3048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保鲜菇</w:t>
            </w:r>
            <w:r>
              <w:rPr>
                <w:color w:val="auto"/>
              </w:rPr>
              <w:t>/</w:t>
            </w:r>
            <w:r>
              <w:rPr>
                <w:rFonts w:hint="eastAsia" w:cs="宋体"/>
                <w:color w:val="auto"/>
              </w:rPr>
              <w:t>％</w:t>
            </w:r>
          </w:p>
        </w:tc>
        <w:tc>
          <w:tcPr>
            <w:tcW w:w="5157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≤</w:t>
            </w:r>
            <w:r>
              <w:rPr>
                <w:color w:val="auto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vMerge w:val="restart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菌盖厚度</w:t>
            </w:r>
          </w:p>
        </w:tc>
        <w:tc>
          <w:tcPr>
            <w:tcW w:w="3048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干香菇</w:t>
            </w:r>
            <w:r>
              <w:rPr>
                <w:color w:val="auto"/>
              </w:rPr>
              <w:t>/cm</w:t>
            </w:r>
          </w:p>
        </w:tc>
        <w:tc>
          <w:tcPr>
            <w:tcW w:w="5157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≥</w:t>
            </w:r>
            <w:r>
              <w:rPr>
                <w:color w:val="auto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vMerge w:val="continue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3048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保鲜菇</w:t>
            </w:r>
            <w:r>
              <w:rPr>
                <w:color w:val="auto"/>
              </w:rPr>
              <w:t>/cm</w:t>
            </w:r>
          </w:p>
        </w:tc>
        <w:tc>
          <w:tcPr>
            <w:tcW w:w="5157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≥</w:t>
            </w:r>
            <w:r>
              <w:rPr>
                <w:color w:val="auto"/>
              </w:rPr>
              <w:t>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vMerge w:val="restart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菌盖直径</w:t>
            </w:r>
          </w:p>
        </w:tc>
        <w:tc>
          <w:tcPr>
            <w:tcW w:w="3048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干香菇</w:t>
            </w:r>
            <w:r>
              <w:rPr>
                <w:color w:val="auto"/>
              </w:rPr>
              <w:t>/cm</w:t>
            </w:r>
          </w:p>
        </w:tc>
        <w:tc>
          <w:tcPr>
            <w:tcW w:w="5157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≥</w:t>
            </w:r>
            <w:r>
              <w:rPr>
                <w:color w:val="auto"/>
              </w:rPr>
              <w:t>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vMerge w:val="continue"/>
          </w:tcPr>
          <w:p>
            <w:pPr>
              <w:rPr>
                <w:color w:val="auto"/>
              </w:rPr>
            </w:pPr>
          </w:p>
        </w:tc>
        <w:tc>
          <w:tcPr>
            <w:tcW w:w="3048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保鲜菇</w:t>
            </w:r>
            <w:r>
              <w:rPr>
                <w:color w:val="auto"/>
              </w:rPr>
              <w:t>/cm</w:t>
            </w:r>
          </w:p>
        </w:tc>
        <w:tc>
          <w:tcPr>
            <w:tcW w:w="5157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≥</w:t>
            </w:r>
            <w:r>
              <w:rPr>
                <w:color w:val="auto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5" w:type="dxa"/>
            <w:gridSpan w:val="2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残碎菇</w:t>
            </w:r>
            <w:r>
              <w:rPr>
                <w:color w:val="auto"/>
              </w:rPr>
              <w:t>/%</w:t>
            </w:r>
          </w:p>
        </w:tc>
        <w:tc>
          <w:tcPr>
            <w:tcW w:w="5157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≤</w:t>
            </w:r>
            <w:r>
              <w:rPr>
                <w:color w:val="auto"/>
              </w:rPr>
              <w:t>1.0</w:t>
            </w:r>
          </w:p>
        </w:tc>
      </w:tr>
    </w:tbl>
    <w:p>
      <w:pPr>
        <w:pStyle w:val="13"/>
        <w:spacing w:before="156" w:after="156"/>
        <w:rPr>
          <w:rFonts w:cs="Times New Roman"/>
          <w:color w:val="auto"/>
        </w:rPr>
      </w:pPr>
      <w:bookmarkStart w:id="255" w:name="_Toc459712235"/>
      <w:bookmarkStart w:id="256" w:name="_Toc459711957"/>
      <w:bookmarkStart w:id="257" w:name="_Toc459712127"/>
      <w:bookmarkStart w:id="258" w:name="_Toc459712407"/>
      <w:bookmarkStart w:id="259" w:name="_Toc459739755"/>
      <w:bookmarkStart w:id="260" w:name="_Toc459712042"/>
      <w:bookmarkStart w:id="261" w:name="_Toc459712556"/>
      <w:bookmarkStart w:id="262" w:name="_Toc459712310"/>
      <w:r>
        <w:rPr>
          <w:rFonts w:hint="eastAsia"/>
          <w:color w:val="auto"/>
        </w:rPr>
        <w:t>理化指标</w:t>
      </w:r>
      <w:bookmarkEnd w:id="255"/>
      <w:bookmarkEnd w:id="256"/>
      <w:bookmarkEnd w:id="257"/>
      <w:bookmarkEnd w:id="258"/>
      <w:bookmarkEnd w:id="259"/>
      <w:bookmarkEnd w:id="260"/>
      <w:bookmarkEnd w:id="261"/>
      <w:bookmarkEnd w:id="262"/>
    </w:p>
    <w:p>
      <w:pPr>
        <w:pStyle w:val="11"/>
        <w:rPr>
          <w:rFonts w:hint="eastAsia"/>
          <w:color w:val="auto"/>
        </w:rPr>
      </w:pPr>
      <w:r>
        <w:rPr>
          <w:rFonts w:hint="eastAsia"/>
          <w:color w:val="auto"/>
        </w:rPr>
        <w:t>理化指标符合表</w:t>
      </w:r>
      <w:r>
        <w:rPr>
          <w:color w:val="auto"/>
        </w:rPr>
        <w:t>2</w:t>
      </w:r>
      <w:r>
        <w:rPr>
          <w:rFonts w:hint="eastAsia"/>
          <w:color w:val="auto"/>
        </w:rPr>
        <w:t>规定。</w:t>
      </w:r>
    </w:p>
    <w:p>
      <w:pPr>
        <w:pStyle w:val="11"/>
        <w:rPr>
          <w:rFonts w:hint="eastAsia"/>
          <w:color w:val="auto"/>
        </w:rPr>
      </w:pPr>
    </w:p>
    <w:p>
      <w:pPr>
        <w:jc w:val="center"/>
        <w:rPr>
          <w:color w:val="auto"/>
        </w:rPr>
      </w:pPr>
      <w:r>
        <w:rPr>
          <w:rFonts w:hint="eastAsia" w:cs="宋体"/>
          <w:color w:val="auto"/>
        </w:rPr>
        <w:t>表</w:t>
      </w:r>
      <w:r>
        <w:rPr>
          <w:color w:val="auto"/>
        </w:rPr>
        <w:t>2</w:t>
      </w:r>
      <w:r>
        <w:rPr>
          <w:rFonts w:hint="eastAsia" w:cs="宋体"/>
          <w:color w:val="auto"/>
        </w:rPr>
        <w:t>地理标志保护产品</w:t>
      </w:r>
      <w:r>
        <w:rPr>
          <w:color w:val="auto"/>
        </w:rPr>
        <w:t xml:space="preserve"> </w:t>
      </w:r>
      <w:r>
        <w:rPr>
          <w:rFonts w:hint="eastAsia" w:cs="宋体"/>
          <w:color w:val="auto"/>
        </w:rPr>
        <w:t>利州香菇理化指标</w:t>
      </w:r>
    </w:p>
    <w:tbl>
      <w:tblPr>
        <w:tblStyle w:val="7"/>
        <w:tblW w:w="921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6"/>
        <w:gridCol w:w="4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6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项</w:t>
            </w:r>
            <w:r>
              <w:rPr>
                <w:color w:val="auto"/>
              </w:rPr>
              <w:t xml:space="preserve"> </w:t>
            </w:r>
            <w:r>
              <w:rPr>
                <w:rFonts w:hint="eastAsia" w:cs="宋体"/>
                <w:color w:val="auto"/>
              </w:rPr>
              <w:t>目</w:t>
            </w:r>
          </w:p>
        </w:tc>
        <w:tc>
          <w:tcPr>
            <w:tcW w:w="4538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指</w:t>
            </w:r>
            <w:r>
              <w:rPr>
                <w:color w:val="auto"/>
              </w:rPr>
              <w:t xml:space="preserve">  </w:t>
            </w:r>
            <w:r>
              <w:rPr>
                <w:rFonts w:hint="eastAsia" w:cs="宋体"/>
                <w:color w:val="auto"/>
              </w:rPr>
              <w:t>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6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总糖</w:t>
            </w:r>
            <w:r>
              <w:rPr>
                <w:color w:val="auto"/>
              </w:rPr>
              <w:t>%</w:t>
            </w:r>
          </w:p>
        </w:tc>
        <w:tc>
          <w:tcPr>
            <w:tcW w:w="4538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≥</w:t>
            </w:r>
            <w:r>
              <w:rPr>
                <w:color w:val="auto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6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粗蛋白</w:t>
            </w:r>
            <w:r>
              <w:rPr>
                <w:color w:val="auto"/>
              </w:rPr>
              <w:t>%</w:t>
            </w:r>
          </w:p>
        </w:tc>
        <w:tc>
          <w:tcPr>
            <w:tcW w:w="4538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≥</w:t>
            </w:r>
            <w:r>
              <w:rPr>
                <w:color w:val="auto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6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粗纤维</w:t>
            </w:r>
            <w:r>
              <w:rPr>
                <w:color w:val="auto"/>
              </w:rPr>
              <w:t>%</w:t>
            </w:r>
          </w:p>
        </w:tc>
        <w:tc>
          <w:tcPr>
            <w:tcW w:w="4538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≤</w:t>
            </w:r>
            <w:r>
              <w:rPr>
                <w:color w:val="auto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6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灰分（以干重计算）</w:t>
            </w:r>
            <w:r>
              <w:rPr>
                <w:color w:val="auto"/>
              </w:rPr>
              <w:t>/%</w:t>
            </w:r>
          </w:p>
        </w:tc>
        <w:tc>
          <w:tcPr>
            <w:tcW w:w="4538" w:type="dxa"/>
          </w:tcPr>
          <w:p>
            <w:pPr>
              <w:rPr>
                <w:color w:val="auto"/>
              </w:rPr>
            </w:pPr>
            <w:r>
              <w:rPr>
                <w:rFonts w:hint="eastAsia" w:cs="宋体"/>
                <w:color w:val="auto"/>
              </w:rPr>
              <w:t>≤</w:t>
            </w:r>
            <w:r>
              <w:rPr>
                <w:color w:val="auto"/>
              </w:rPr>
              <w:t>5.0</w:t>
            </w:r>
          </w:p>
        </w:tc>
      </w:tr>
    </w:tbl>
    <w:p>
      <w:pPr>
        <w:pStyle w:val="13"/>
        <w:spacing w:before="156" w:after="156"/>
        <w:rPr>
          <w:rFonts w:cs="Times New Roman"/>
          <w:color w:val="auto"/>
        </w:rPr>
      </w:pPr>
      <w:bookmarkStart w:id="263" w:name="_Toc459712236"/>
      <w:bookmarkStart w:id="264" w:name="_Toc459739756"/>
      <w:bookmarkStart w:id="265" w:name="_Toc459711958"/>
      <w:bookmarkStart w:id="266" w:name="_Toc459712408"/>
      <w:bookmarkStart w:id="267" w:name="_Toc459712128"/>
      <w:bookmarkStart w:id="268" w:name="_Toc459712043"/>
      <w:bookmarkStart w:id="269" w:name="_Toc459712557"/>
      <w:bookmarkStart w:id="270" w:name="_Toc459712311"/>
      <w:r>
        <w:rPr>
          <w:rFonts w:hint="eastAsia"/>
          <w:color w:val="auto"/>
        </w:rPr>
        <w:t>安全及其他质量技术要求</w:t>
      </w:r>
      <w:bookmarkEnd w:id="263"/>
      <w:bookmarkEnd w:id="264"/>
      <w:bookmarkEnd w:id="265"/>
      <w:bookmarkEnd w:id="266"/>
      <w:bookmarkEnd w:id="267"/>
      <w:bookmarkEnd w:id="268"/>
      <w:bookmarkEnd w:id="269"/>
      <w:bookmarkEnd w:id="270"/>
    </w:p>
    <w:p>
      <w:pPr>
        <w:rPr>
          <w:color w:val="auto"/>
        </w:rPr>
      </w:pPr>
      <w:r>
        <w:rPr>
          <w:color w:val="auto"/>
        </w:rPr>
        <w:t xml:space="preserve">     </w:t>
      </w:r>
      <w:bookmarkStart w:id="271" w:name="_Toc459711959"/>
      <w:bookmarkStart w:id="272" w:name="_Toc459712312"/>
      <w:bookmarkStart w:id="273" w:name="_Toc459712044"/>
      <w:bookmarkStart w:id="274" w:name="_Toc459739757"/>
      <w:bookmarkStart w:id="275" w:name="_Toc459712237"/>
      <w:bookmarkStart w:id="276" w:name="_Toc459712558"/>
      <w:bookmarkStart w:id="277" w:name="_Toc459712129"/>
      <w:bookmarkStart w:id="278" w:name="_Toc459712409"/>
      <w:r>
        <w:rPr>
          <w:rFonts w:hint="eastAsia" w:cs="宋体"/>
          <w:color w:val="auto"/>
        </w:rPr>
        <w:t>产品安全及其他质量要求必须国家规定。</w:t>
      </w:r>
      <w:bookmarkEnd w:id="271"/>
      <w:bookmarkEnd w:id="272"/>
      <w:bookmarkEnd w:id="273"/>
      <w:bookmarkEnd w:id="274"/>
      <w:bookmarkEnd w:id="275"/>
      <w:bookmarkEnd w:id="276"/>
      <w:bookmarkEnd w:id="277"/>
      <w:bookmarkEnd w:id="278"/>
    </w:p>
    <w:p>
      <w:pPr>
        <w:pStyle w:val="13"/>
        <w:spacing w:before="156" w:after="156"/>
        <w:rPr>
          <w:rFonts w:cs="Times New Roman"/>
          <w:color w:val="auto"/>
        </w:rPr>
      </w:pPr>
      <w:bookmarkStart w:id="279" w:name="_Toc459712559"/>
      <w:bookmarkStart w:id="280" w:name="_Toc459712045"/>
      <w:bookmarkStart w:id="281" w:name="_Toc459712410"/>
      <w:bookmarkStart w:id="282" w:name="_Toc459711960"/>
      <w:bookmarkStart w:id="283" w:name="_Toc459712313"/>
      <w:bookmarkStart w:id="284" w:name="_Toc459712238"/>
      <w:bookmarkStart w:id="285" w:name="_Toc459739758"/>
      <w:bookmarkStart w:id="286" w:name="_Toc459712130"/>
      <w:r>
        <w:rPr>
          <w:rFonts w:hint="eastAsia"/>
          <w:color w:val="auto"/>
        </w:rPr>
        <w:t>净含量偏差</w:t>
      </w:r>
      <w:bookmarkEnd w:id="279"/>
      <w:bookmarkEnd w:id="280"/>
      <w:bookmarkEnd w:id="281"/>
      <w:bookmarkEnd w:id="282"/>
      <w:bookmarkEnd w:id="283"/>
      <w:bookmarkEnd w:id="284"/>
      <w:bookmarkEnd w:id="285"/>
      <w:bookmarkEnd w:id="286"/>
    </w:p>
    <w:p>
      <w:pPr>
        <w:pStyle w:val="11"/>
        <w:rPr>
          <w:rFonts w:cs="Times New Roman"/>
          <w:color w:val="auto"/>
        </w:rPr>
      </w:pPr>
      <w:bookmarkStart w:id="287" w:name="_Toc459712131"/>
      <w:bookmarkStart w:id="288" w:name="_Toc455932863"/>
      <w:bookmarkStart w:id="289" w:name="_Toc456192456"/>
      <w:bookmarkStart w:id="290" w:name="_Toc459712239"/>
      <w:bookmarkStart w:id="291" w:name="_Toc459711961"/>
      <w:bookmarkStart w:id="292" w:name="_Toc459712046"/>
      <w:r>
        <w:rPr>
          <w:rFonts w:hint="eastAsia"/>
          <w:color w:val="auto"/>
        </w:rPr>
        <w:t>预包装产品的净含量偏差应符合</w:t>
      </w:r>
      <w:r>
        <w:rPr>
          <w:rFonts w:ascii="Arial" w:hAnsi="Arial" w:eastAsia="Arial" w:cs="Arial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国家市场监督管理总</w:t>
      </w:r>
      <w:r>
        <w:rPr>
          <w:rFonts w:hint="eastAsia"/>
          <w:color w:val="auto"/>
        </w:rPr>
        <w:t>局令</w:t>
      </w:r>
      <w:r>
        <w:rPr>
          <w:color w:val="auto"/>
        </w:rPr>
        <w:t>[20</w:t>
      </w:r>
      <w:r>
        <w:rPr>
          <w:rFonts w:hint="eastAsia"/>
          <w:color w:val="auto"/>
          <w:lang w:val="en-US" w:eastAsia="zh-CN"/>
        </w:rPr>
        <w:t>23</w:t>
      </w:r>
      <w:r>
        <w:rPr>
          <w:color w:val="auto"/>
        </w:rPr>
        <w:t>]</w:t>
      </w:r>
      <w:r>
        <w:rPr>
          <w:rFonts w:hint="eastAsia"/>
          <w:color w:val="auto"/>
        </w:rPr>
        <w:t>第</w:t>
      </w:r>
      <w:r>
        <w:rPr>
          <w:color w:val="auto"/>
        </w:rPr>
        <w:t>7</w:t>
      </w:r>
      <w:r>
        <w:rPr>
          <w:rFonts w:hint="eastAsia"/>
          <w:color w:val="auto"/>
          <w:lang w:val="en-US" w:eastAsia="zh-CN"/>
        </w:rPr>
        <w:t>0</w:t>
      </w:r>
      <w:r>
        <w:rPr>
          <w:rFonts w:hint="eastAsia"/>
          <w:color w:val="auto"/>
        </w:rPr>
        <w:t>号《定量包装商品计量监督管理办法》。</w:t>
      </w:r>
      <w:bookmarkEnd w:id="287"/>
      <w:bookmarkEnd w:id="288"/>
      <w:bookmarkEnd w:id="289"/>
      <w:bookmarkEnd w:id="290"/>
      <w:bookmarkEnd w:id="291"/>
      <w:bookmarkEnd w:id="292"/>
    </w:p>
    <w:p>
      <w:pPr>
        <w:pStyle w:val="16"/>
        <w:spacing w:before="312" w:after="312"/>
        <w:rPr>
          <w:rFonts w:cs="Times New Roman"/>
          <w:color w:val="auto"/>
        </w:rPr>
      </w:pPr>
      <w:bookmarkStart w:id="293" w:name="_Toc459712387"/>
      <w:bookmarkStart w:id="294" w:name="_Toc459742388"/>
      <w:bookmarkStart w:id="295" w:name="_Toc459737921"/>
      <w:bookmarkStart w:id="296" w:name="_Toc459743079"/>
      <w:bookmarkStart w:id="297" w:name="_Toc459711744"/>
      <w:bookmarkStart w:id="298" w:name="_Toc459712364"/>
      <w:bookmarkStart w:id="299" w:name="_Toc459712580"/>
      <w:bookmarkStart w:id="300" w:name="_Toc459712620"/>
      <w:bookmarkStart w:id="301" w:name="_Toc459712461"/>
      <w:bookmarkStart w:id="302" w:name="_Toc459742969"/>
      <w:bookmarkStart w:id="303" w:name="_Toc459736674"/>
      <w:bookmarkStart w:id="304" w:name="_Toc459712165"/>
      <w:bookmarkStart w:id="305" w:name="_Toc459712205"/>
      <w:bookmarkStart w:id="306" w:name="_Toc459712334"/>
      <w:bookmarkStart w:id="307" w:name="_Toc459711995"/>
      <w:bookmarkStart w:id="308" w:name="_Toc459712080"/>
      <w:bookmarkStart w:id="309" w:name="_Toc459739779"/>
      <w:bookmarkStart w:id="310" w:name="_Toc459712273"/>
      <w:bookmarkStart w:id="311" w:name="_Toc459742597"/>
      <w:bookmarkStart w:id="312" w:name="_Toc459712431"/>
      <w:r>
        <w:rPr>
          <w:rFonts w:hint="eastAsia"/>
          <w:color w:val="auto"/>
        </w:rPr>
        <w:t>标签</w:t>
      </w:r>
      <w:bookmarkEnd w:id="293"/>
      <w:bookmarkEnd w:id="294"/>
      <w:bookmarkEnd w:id="295"/>
      <w:bookmarkEnd w:id="296"/>
      <w:bookmarkEnd w:id="297"/>
      <w:bookmarkEnd w:id="298"/>
      <w:bookmarkEnd w:id="299"/>
      <w:bookmarkEnd w:id="300"/>
      <w:bookmarkEnd w:id="301"/>
      <w:bookmarkEnd w:id="302"/>
      <w:bookmarkEnd w:id="303"/>
      <w:bookmarkEnd w:id="304"/>
      <w:bookmarkEnd w:id="305"/>
      <w:bookmarkEnd w:id="306"/>
      <w:bookmarkEnd w:id="307"/>
      <w:bookmarkEnd w:id="308"/>
      <w:bookmarkEnd w:id="309"/>
      <w:bookmarkEnd w:id="310"/>
      <w:bookmarkEnd w:id="311"/>
      <w:bookmarkEnd w:id="312"/>
    </w:p>
    <w:p>
      <w:pPr>
        <w:pStyle w:val="13"/>
        <w:spacing w:before="156" w:after="156"/>
        <w:rPr>
          <w:rFonts w:ascii="宋体" w:hAnsi="宋体" w:eastAsia="宋体" w:cs="Times New Roman"/>
          <w:color w:val="auto"/>
        </w:rPr>
      </w:pPr>
      <w:bookmarkStart w:id="313" w:name="_Toc459712335"/>
      <w:bookmarkStart w:id="314" w:name="_Toc459712274"/>
      <w:bookmarkStart w:id="315" w:name="_Toc459711996"/>
      <w:bookmarkStart w:id="316" w:name="_Toc459739780"/>
      <w:bookmarkStart w:id="317" w:name="_Toc459712081"/>
      <w:bookmarkStart w:id="318" w:name="_Toc459712581"/>
      <w:bookmarkStart w:id="319" w:name="_Toc459712166"/>
      <w:bookmarkStart w:id="320" w:name="_Toc459712432"/>
      <w:r>
        <w:rPr>
          <w:rFonts w:hint="eastAsia" w:ascii="宋体" w:hAnsi="宋体" w:eastAsia="宋体" w:cs="宋体"/>
          <w:color w:val="auto"/>
        </w:rPr>
        <w:t>包装上的标志和标签应标明产品名称、生产者、产地、净含量和采收日期等，字迹应清晰、完整、准确。</w:t>
      </w:r>
      <w:bookmarkEnd w:id="313"/>
      <w:bookmarkEnd w:id="314"/>
      <w:bookmarkEnd w:id="315"/>
      <w:bookmarkEnd w:id="316"/>
      <w:bookmarkEnd w:id="317"/>
      <w:bookmarkEnd w:id="318"/>
      <w:bookmarkEnd w:id="319"/>
      <w:bookmarkEnd w:id="320"/>
    </w:p>
    <w:p>
      <w:pPr>
        <w:pStyle w:val="11"/>
        <w:rPr>
          <w:color w:val="auto"/>
        </w:rPr>
      </w:pPr>
    </w:p>
    <w:p>
      <w:pPr>
        <w:pStyle w:val="13"/>
        <w:spacing w:before="156" w:after="156"/>
        <w:rPr>
          <w:rFonts w:ascii="宋体" w:hAnsi="宋体" w:eastAsia="宋体" w:cs="Times New Roman"/>
          <w:color w:val="auto"/>
        </w:rPr>
      </w:pPr>
      <w:bookmarkStart w:id="321" w:name="_Toc459712433"/>
      <w:bookmarkStart w:id="322" w:name="_Toc459712582"/>
      <w:bookmarkStart w:id="323" w:name="_Toc459711997"/>
      <w:bookmarkStart w:id="324" w:name="_Toc459739781"/>
      <w:bookmarkStart w:id="325" w:name="_Toc459712275"/>
      <w:bookmarkStart w:id="326" w:name="_Toc459712082"/>
      <w:bookmarkStart w:id="327" w:name="_Toc459712167"/>
      <w:bookmarkStart w:id="328" w:name="_Toc459712336"/>
      <w:r>
        <w:rPr>
          <w:rFonts w:hint="eastAsia" w:ascii="宋体" w:hAnsi="宋体" w:eastAsia="宋体" w:cs="宋体"/>
          <w:color w:val="auto"/>
        </w:rPr>
        <w:t>产品外包装标志应符合</w:t>
      </w:r>
      <w:r>
        <w:rPr>
          <w:rFonts w:ascii="宋体" w:hAnsi="宋体" w:eastAsia="宋体" w:cs="宋体"/>
          <w:color w:val="auto"/>
        </w:rPr>
        <w:t>GB/T191</w:t>
      </w:r>
      <w:r>
        <w:rPr>
          <w:rFonts w:hint="eastAsia" w:ascii="宋体" w:hAnsi="宋体" w:eastAsia="宋体" w:cs="宋体"/>
          <w:color w:val="auto"/>
          <w:lang w:val="en-US" w:eastAsia="zh-CN"/>
        </w:rPr>
        <w:t>-2008《包装运输图示标志》</w:t>
      </w:r>
      <w:r>
        <w:rPr>
          <w:rFonts w:hint="eastAsia" w:ascii="宋体" w:hAnsi="宋体" w:eastAsia="宋体" w:cs="宋体"/>
          <w:color w:val="auto"/>
        </w:rPr>
        <w:t>的规定，并应有下列清晰正确的标识：收货单位、供货单位、小心轻放标志、防雨淋、防潮标志、防重压标志。</w:t>
      </w:r>
      <w:bookmarkEnd w:id="321"/>
      <w:bookmarkEnd w:id="322"/>
      <w:bookmarkEnd w:id="323"/>
      <w:bookmarkEnd w:id="324"/>
      <w:bookmarkEnd w:id="325"/>
      <w:bookmarkEnd w:id="326"/>
      <w:bookmarkEnd w:id="327"/>
      <w:bookmarkEnd w:id="328"/>
    </w:p>
    <w:p>
      <w:pPr>
        <w:pStyle w:val="11"/>
        <w:rPr>
          <w:color w:val="auto"/>
        </w:rPr>
      </w:pPr>
    </w:p>
    <w:p>
      <w:pPr>
        <w:pStyle w:val="17"/>
        <w:numPr>
          <w:ilvl w:val="0"/>
          <w:numId w:val="0"/>
        </w:numPr>
        <w:spacing w:before="156" w:after="156"/>
        <w:rPr>
          <w:rFonts w:hint="eastAsia" w:ascii="宋体" w:hAnsi="宋体" w:eastAsia="宋体" w:cs="宋体"/>
          <w:color w:val="auto"/>
        </w:rPr>
      </w:pPr>
      <w:bookmarkStart w:id="329" w:name="_Toc459712083"/>
      <w:bookmarkStart w:id="330" w:name="_Toc459711998"/>
      <w:bookmarkStart w:id="331" w:name="_Toc459712168"/>
      <w:bookmarkStart w:id="332" w:name="_Toc459712337"/>
      <w:bookmarkStart w:id="333" w:name="_Toc459712583"/>
      <w:bookmarkStart w:id="334" w:name="_Toc459712434"/>
      <w:bookmarkStart w:id="335" w:name="_Toc459739782"/>
      <w:bookmarkStart w:id="336" w:name="_Toc459712276"/>
      <w:r>
        <w:rPr>
          <w:rFonts w:hint="eastAsia" w:hAnsi="宋体"/>
          <w:color w:val="auto"/>
          <w:lang w:val="en-US" w:eastAsia="zh-CN"/>
        </w:rPr>
        <w:t>8</w:t>
      </w:r>
      <w:r>
        <w:rPr>
          <w:rFonts w:hAnsi="宋体"/>
          <w:color w:val="auto"/>
        </w:rPr>
        <w:t>.2.1</w:t>
      </w:r>
      <w:r>
        <w:rPr>
          <w:rFonts w:hint="eastAsia" w:hAnsi="宋体"/>
          <w:color w:val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</w:rPr>
        <w:t>保鲜菇内包装标志根据需方要求，按双方商定执行。</w:t>
      </w:r>
      <w:bookmarkEnd w:id="329"/>
      <w:bookmarkEnd w:id="330"/>
      <w:bookmarkEnd w:id="331"/>
      <w:bookmarkEnd w:id="332"/>
      <w:bookmarkEnd w:id="333"/>
      <w:bookmarkEnd w:id="334"/>
      <w:bookmarkEnd w:id="335"/>
      <w:bookmarkEnd w:id="336"/>
    </w:p>
    <w:p>
      <w:pPr>
        <w:pStyle w:val="11"/>
        <w:rPr>
          <w:color w:val="auto"/>
        </w:rPr>
      </w:pPr>
    </w:p>
    <w:p>
      <w:pPr>
        <w:pStyle w:val="17"/>
        <w:numPr>
          <w:ilvl w:val="0"/>
          <w:numId w:val="0"/>
        </w:numPr>
        <w:spacing w:before="156" w:after="156"/>
        <w:rPr>
          <w:rFonts w:ascii="宋体" w:hAnsi="宋体" w:eastAsia="宋体" w:cs="Times New Roman"/>
          <w:color w:val="auto"/>
        </w:rPr>
      </w:pPr>
      <w:bookmarkStart w:id="337" w:name="_Toc459712435"/>
      <w:bookmarkStart w:id="338" w:name="_Toc459739783"/>
      <w:bookmarkStart w:id="339" w:name="_Toc459712338"/>
      <w:bookmarkStart w:id="340" w:name="_Toc459711999"/>
      <w:bookmarkStart w:id="341" w:name="_Toc459712584"/>
      <w:bookmarkStart w:id="342" w:name="_Toc459712169"/>
      <w:bookmarkStart w:id="343" w:name="_Toc459712084"/>
      <w:bookmarkStart w:id="344" w:name="_Toc459712277"/>
      <w:r>
        <w:rPr>
          <w:rFonts w:hint="eastAsia" w:hAnsi="宋体"/>
          <w:color w:val="auto"/>
          <w:lang w:val="en-US" w:eastAsia="zh-CN"/>
        </w:rPr>
        <w:t>8</w:t>
      </w:r>
      <w:r>
        <w:rPr>
          <w:rFonts w:hAnsi="宋体"/>
          <w:color w:val="auto"/>
        </w:rPr>
        <w:t>.2.2</w:t>
      </w:r>
      <w:r>
        <w:rPr>
          <w:rFonts w:hint="eastAsia" w:hAnsi="宋体"/>
          <w:color w:val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</w:rPr>
        <w:t>标签应符合</w:t>
      </w:r>
      <w:r>
        <w:rPr>
          <w:rFonts w:ascii="宋体" w:hAnsi="宋体" w:eastAsia="宋体" w:cs="宋体"/>
          <w:color w:val="auto"/>
        </w:rPr>
        <w:t>GB7718</w:t>
      </w:r>
      <w:r>
        <w:rPr>
          <w:rFonts w:hint="eastAsia" w:ascii="宋体" w:hAnsi="宋体" w:eastAsia="宋体" w:cs="宋体"/>
          <w:color w:val="auto"/>
          <w:lang w:val="en-US" w:eastAsia="zh-CN"/>
        </w:rPr>
        <w:t>-2011《预包装食品标签通则》</w:t>
      </w:r>
      <w:r>
        <w:rPr>
          <w:rFonts w:hint="eastAsia" w:ascii="宋体" w:hAnsi="宋体" w:eastAsia="宋体" w:cs="宋体"/>
          <w:color w:val="auto"/>
        </w:rPr>
        <w:t>的规定。</w:t>
      </w:r>
      <w:bookmarkEnd w:id="337"/>
      <w:bookmarkEnd w:id="338"/>
      <w:bookmarkEnd w:id="339"/>
      <w:bookmarkEnd w:id="340"/>
      <w:bookmarkEnd w:id="341"/>
      <w:bookmarkEnd w:id="342"/>
      <w:bookmarkEnd w:id="343"/>
      <w:bookmarkEnd w:id="344"/>
    </w:p>
    <w:p>
      <w:pPr>
        <w:pStyle w:val="16"/>
        <w:spacing w:before="312" w:after="312"/>
        <w:rPr>
          <w:rFonts w:cs="Times New Roman"/>
          <w:color w:val="auto"/>
        </w:rPr>
      </w:pPr>
      <w:bookmarkStart w:id="345" w:name="_Toc459712462"/>
      <w:bookmarkStart w:id="346" w:name="_Toc459712206"/>
      <w:bookmarkStart w:id="347" w:name="_Toc458244844"/>
      <w:bookmarkStart w:id="348" w:name="_Toc459711745"/>
      <w:bookmarkStart w:id="349" w:name="_Toc458244345"/>
      <w:bookmarkStart w:id="350" w:name="_Toc459712365"/>
      <w:bookmarkStart w:id="351" w:name="_Toc459743080"/>
      <w:bookmarkStart w:id="352" w:name="_Toc459712278"/>
      <w:bookmarkStart w:id="353" w:name="_Toc459712621"/>
      <w:bookmarkStart w:id="354" w:name="_Toc456204840"/>
      <w:bookmarkStart w:id="355" w:name="_Toc458457339"/>
      <w:bookmarkStart w:id="356" w:name="_Toc455932892"/>
      <w:bookmarkStart w:id="357" w:name="_Toc459712436"/>
      <w:bookmarkStart w:id="358" w:name="_Toc458244964"/>
      <w:bookmarkStart w:id="359" w:name="_Toc459742389"/>
      <w:bookmarkStart w:id="360" w:name="_Toc459739784"/>
      <w:bookmarkStart w:id="361" w:name="_Toc459742970"/>
      <w:bookmarkStart w:id="362" w:name="_Toc459712000"/>
      <w:bookmarkStart w:id="363" w:name="_Toc459712388"/>
      <w:bookmarkStart w:id="364" w:name="_Toc459712585"/>
      <w:bookmarkStart w:id="365" w:name="_Toc459737922"/>
      <w:bookmarkStart w:id="366" w:name="_Toc456192482"/>
      <w:bookmarkStart w:id="367" w:name="_Toc459712339"/>
      <w:bookmarkStart w:id="368" w:name="_Toc459736675"/>
      <w:bookmarkStart w:id="369" w:name="_Toc459712085"/>
      <w:bookmarkStart w:id="370" w:name="_Toc458244542"/>
      <w:bookmarkStart w:id="371" w:name="_Toc459712170"/>
      <w:bookmarkStart w:id="372" w:name="_Toc459635424"/>
      <w:bookmarkStart w:id="373" w:name="_Toc459742598"/>
      <w:r>
        <w:rPr>
          <w:rFonts w:hint="eastAsia"/>
          <w:color w:val="auto"/>
        </w:rPr>
        <w:t>包装、运输和贮存</w:t>
      </w:r>
      <w:bookmarkEnd w:id="345"/>
      <w:bookmarkEnd w:id="346"/>
      <w:bookmarkEnd w:id="347"/>
      <w:bookmarkEnd w:id="348"/>
      <w:bookmarkEnd w:id="349"/>
      <w:bookmarkEnd w:id="350"/>
      <w:bookmarkEnd w:id="351"/>
      <w:bookmarkEnd w:id="352"/>
      <w:bookmarkEnd w:id="353"/>
      <w:bookmarkEnd w:id="354"/>
      <w:bookmarkEnd w:id="355"/>
      <w:bookmarkEnd w:id="356"/>
      <w:bookmarkEnd w:id="357"/>
      <w:bookmarkEnd w:id="358"/>
      <w:bookmarkEnd w:id="359"/>
      <w:bookmarkEnd w:id="360"/>
      <w:bookmarkEnd w:id="361"/>
      <w:bookmarkEnd w:id="362"/>
      <w:bookmarkEnd w:id="363"/>
      <w:bookmarkEnd w:id="364"/>
      <w:bookmarkEnd w:id="365"/>
      <w:bookmarkEnd w:id="366"/>
      <w:bookmarkEnd w:id="367"/>
      <w:bookmarkEnd w:id="368"/>
      <w:bookmarkEnd w:id="369"/>
      <w:bookmarkEnd w:id="370"/>
      <w:bookmarkEnd w:id="371"/>
      <w:bookmarkEnd w:id="372"/>
      <w:bookmarkEnd w:id="373"/>
    </w:p>
    <w:p>
      <w:pPr>
        <w:pStyle w:val="13"/>
        <w:spacing w:before="156" w:after="156"/>
        <w:rPr>
          <w:rFonts w:cs="Times New Roman"/>
          <w:color w:val="auto"/>
        </w:rPr>
      </w:pPr>
      <w:bookmarkStart w:id="374" w:name="_Toc459712340"/>
      <w:bookmarkStart w:id="375" w:name="_Toc459712086"/>
      <w:bookmarkStart w:id="376" w:name="_Toc459739785"/>
      <w:bookmarkStart w:id="377" w:name="_Toc459712586"/>
      <w:bookmarkStart w:id="378" w:name="_Toc459712437"/>
      <w:bookmarkStart w:id="379" w:name="_Toc459712001"/>
      <w:bookmarkStart w:id="380" w:name="_Toc459712171"/>
      <w:bookmarkStart w:id="381" w:name="_Toc459712279"/>
      <w:r>
        <w:rPr>
          <w:rFonts w:hint="eastAsia"/>
          <w:color w:val="auto"/>
        </w:rPr>
        <w:t>包装</w:t>
      </w:r>
      <w:bookmarkEnd w:id="374"/>
      <w:bookmarkEnd w:id="375"/>
      <w:bookmarkEnd w:id="376"/>
      <w:bookmarkEnd w:id="377"/>
      <w:bookmarkEnd w:id="378"/>
      <w:bookmarkEnd w:id="379"/>
      <w:bookmarkEnd w:id="380"/>
      <w:bookmarkEnd w:id="381"/>
    </w:p>
    <w:p>
      <w:pPr>
        <w:pStyle w:val="17"/>
        <w:numPr>
          <w:ilvl w:val="0"/>
          <w:numId w:val="0"/>
        </w:numPr>
        <w:spacing w:before="156" w:after="156"/>
        <w:rPr>
          <w:rFonts w:ascii="宋体" w:hAnsi="宋体" w:eastAsia="宋体" w:cs="Times New Roman"/>
          <w:color w:val="auto"/>
        </w:rPr>
      </w:pPr>
      <w:bookmarkStart w:id="382" w:name="_Toc459712087"/>
      <w:bookmarkStart w:id="383" w:name="_Toc459712002"/>
      <w:bookmarkStart w:id="384" w:name="_Toc459712280"/>
      <w:bookmarkStart w:id="385" w:name="_Toc459712172"/>
      <w:r>
        <w:rPr>
          <w:rFonts w:hint="eastAsia" w:hAnsi="宋体"/>
          <w:color w:val="auto"/>
          <w:lang w:val="en-US" w:eastAsia="zh-CN"/>
        </w:rPr>
        <w:t>9</w:t>
      </w:r>
      <w:r>
        <w:rPr>
          <w:rFonts w:hAnsi="宋体"/>
          <w:color w:val="auto"/>
        </w:rPr>
        <w:t>.1.1</w:t>
      </w:r>
      <w:r>
        <w:rPr>
          <w:rFonts w:hint="eastAsia" w:hAnsi="宋体"/>
          <w:color w:val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</w:rPr>
        <w:t>外包装</w:t>
      </w:r>
      <w:r>
        <w:rPr>
          <w:rFonts w:ascii="宋体" w:hAnsi="宋体" w:eastAsia="宋体" w:cs="宋体"/>
          <w:color w:val="auto"/>
        </w:rPr>
        <w:t>(</w:t>
      </w:r>
      <w:r>
        <w:rPr>
          <w:rFonts w:hint="eastAsia" w:ascii="宋体" w:hAnsi="宋体" w:eastAsia="宋体" w:cs="宋体"/>
          <w:color w:val="auto"/>
        </w:rPr>
        <w:t>箱、筐</w:t>
      </w:r>
      <w:r>
        <w:rPr>
          <w:rFonts w:ascii="宋体" w:hAnsi="宋体" w:eastAsia="宋体" w:cs="宋体"/>
          <w:color w:val="auto"/>
        </w:rPr>
        <w:t>)</w:t>
      </w:r>
      <w:r>
        <w:rPr>
          <w:rFonts w:hint="eastAsia" w:ascii="宋体" w:hAnsi="宋体" w:eastAsia="宋体" w:cs="宋体"/>
          <w:color w:val="auto"/>
        </w:rPr>
        <w:t>应牢固、干燥、清洁、无异味、无毒，便于装卸、仓储和运输，符合</w:t>
      </w:r>
      <w:r>
        <w:rPr>
          <w:rFonts w:ascii="宋体" w:hAnsi="宋体" w:eastAsia="宋体" w:cs="宋体"/>
          <w:color w:val="auto"/>
        </w:rPr>
        <w:t>GB6543</w:t>
      </w:r>
      <w:r>
        <w:rPr>
          <w:rFonts w:hint="eastAsia" w:ascii="宋体" w:hAnsi="宋体" w:eastAsia="宋体" w:cs="宋体"/>
          <w:color w:val="auto"/>
          <w:lang w:val="en-US" w:eastAsia="zh-CN"/>
        </w:rPr>
        <w:t>-2008《运输包装用单瓦楞纸箱和双瓦楞纸箱》</w:t>
      </w:r>
      <w:r>
        <w:rPr>
          <w:rFonts w:hint="eastAsia" w:ascii="宋体" w:hAnsi="宋体" w:eastAsia="宋体" w:cs="宋体"/>
          <w:color w:val="auto"/>
        </w:rPr>
        <w:t>的规定。内包装材料卫生指标应符合</w:t>
      </w:r>
      <w:r>
        <w:rPr>
          <w:rFonts w:ascii="宋体" w:hAnsi="宋体" w:eastAsia="宋体" w:cs="宋体"/>
          <w:color w:val="auto"/>
        </w:rPr>
        <w:t>GB9687</w:t>
      </w:r>
      <w:r>
        <w:rPr>
          <w:rFonts w:hint="eastAsia" w:ascii="宋体" w:hAnsi="宋体" w:eastAsia="宋体" w:cs="宋体"/>
          <w:color w:val="auto"/>
          <w:lang w:val="en-US" w:eastAsia="zh-CN"/>
        </w:rPr>
        <w:t>-1988《食品包装用聚乙烯成型品卫生标准》</w:t>
      </w:r>
      <w:r>
        <w:rPr>
          <w:rFonts w:hint="eastAsia" w:ascii="宋体" w:hAnsi="宋体" w:eastAsia="宋体" w:cs="宋体"/>
          <w:color w:val="auto"/>
        </w:rPr>
        <w:t>规定。</w:t>
      </w:r>
      <w:bookmarkEnd w:id="382"/>
      <w:bookmarkEnd w:id="383"/>
      <w:bookmarkEnd w:id="384"/>
      <w:bookmarkEnd w:id="385"/>
    </w:p>
    <w:p>
      <w:pPr>
        <w:pStyle w:val="17"/>
        <w:numPr>
          <w:ilvl w:val="0"/>
          <w:numId w:val="0"/>
        </w:numPr>
        <w:spacing w:before="156" w:after="156"/>
        <w:rPr>
          <w:rFonts w:ascii="宋体" w:hAnsi="宋体" w:eastAsia="宋体" w:cs="Times New Roman"/>
          <w:color w:val="auto"/>
        </w:rPr>
      </w:pPr>
      <w:bookmarkStart w:id="386" w:name="_Toc459712003"/>
      <w:bookmarkStart w:id="387" w:name="_Toc459712281"/>
      <w:bookmarkStart w:id="388" w:name="_Toc459712173"/>
      <w:bookmarkStart w:id="389" w:name="_Toc459712088"/>
      <w:r>
        <w:rPr>
          <w:rFonts w:hint="eastAsia" w:hAnsi="宋体"/>
          <w:color w:val="auto"/>
          <w:lang w:val="en-US" w:eastAsia="zh-CN"/>
        </w:rPr>
        <w:t>9</w:t>
      </w:r>
      <w:r>
        <w:rPr>
          <w:rFonts w:hAnsi="宋体"/>
          <w:color w:val="auto"/>
        </w:rPr>
        <w:t>.1.2</w:t>
      </w:r>
      <w:r>
        <w:rPr>
          <w:rFonts w:hint="eastAsia" w:hAnsi="宋体"/>
          <w:color w:val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</w:rPr>
        <w:t>每批报验的香菇其包装规格、单位净含量应一致。</w:t>
      </w:r>
      <w:bookmarkEnd w:id="386"/>
      <w:bookmarkEnd w:id="387"/>
      <w:bookmarkEnd w:id="388"/>
      <w:bookmarkEnd w:id="389"/>
    </w:p>
    <w:p>
      <w:pPr>
        <w:pStyle w:val="17"/>
        <w:numPr>
          <w:ilvl w:val="0"/>
          <w:numId w:val="0"/>
        </w:numPr>
        <w:spacing w:before="156" w:after="156"/>
        <w:rPr>
          <w:rFonts w:ascii="宋体" w:hAnsi="宋体" w:eastAsia="宋体" w:cs="Times New Roman"/>
          <w:color w:val="auto"/>
        </w:rPr>
      </w:pPr>
      <w:bookmarkStart w:id="390" w:name="_Toc459712004"/>
      <w:bookmarkStart w:id="391" w:name="_Toc459712089"/>
      <w:bookmarkStart w:id="392" w:name="_Toc459712282"/>
      <w:bookmarkStart w:id="393" w:name="_Toc459712174"/>
      <w:r>
        <w:rPr>
          <w:rFonts w:hint="eastAsia" w:hAnsi="宋体"/>
          <w:color w:val="auto"/>
          <w:lang w:val="en-US" w:eastAsia="zh-CN"/>
        </w:rPr>
        <w:t>9</w:t>
      </w:r>
      <w:r>
        <w:rPr>
          <w:rFonts w:hAnsi="宋体"/>
          <w:color w:val="auto"/>
        </w:rPr>
        <w:t>.1.3</w:t>
      </w:r>
      <w:r>
        <w:rPr>
          <w:rFonts w:hint="eastAsia" w:hAnsi="宋体"/>
          <w:color w:val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</w:rPr>
        <w:t>包装检验规则：逐件称量抽取的样品，每件的净含量不应低于包装标识的净含量，应符合《定量包装商品计量监督管理办法》规定。</w:t>
      </w:r>
      <w:bookmarkEnd w:id="390"/>
      <w:bookmarkEnd w:id="391"/>
      <w:bookmarkEnd w:id="392"/>
      <w:bookmarkEnd w:id="393"/>
    </w:p>
    <w:p>
      <w:pPr>
        <w:pStyle w:val="13"/>
        <w:spacing w:before="156" w:after="156"/>
        <w:rPr>
          <w:rFonts w:cs="Times New Roman"/>
          <w:color w:val="auto"/>
        </w:rPr>
      </w:pPr>
      <w:bookmarkStart w:id="394" w:name="_Toc459712175"/>
      <w:bookmarkStart w:id="395" w:name="_Toc459712341"/>
      <w:bookmarkStart w:id="396" w:name="_Toc459739786"/>
      <w:bookmarkStart w:id="397" w:name="_Toc459712587"/>
      <w:bookmarkStart w:id="398" w:name="_Toc459712005"/>
      <w:bookmarkStart w:id="399" w:name="_Toc459712283"/>
      <w:bookmarkStart w:id="400" w:name="_Toc459712090"/>
      <w:bookmarkStart w:id="401" w:name="_Toc459712438"/>
      <w:r>
        <w:rPr>
          <w:rFonts w:hint="eastAsia"/>
          <w:color w:val="auto"/>
        </w:rPr>
        <w:t>运输</w:t>
      </w:r>
      <w:bookmarkEnd w:id="394"/>
      <w:bookmarkEnd w:id="395"/>
      <w:bookmarkEnd w:id="396"/>
      <w:bookmarkEnd w:id="397"/>
      <w:bookmarkEnd w:id="398"/>
      <w:bookmarkEnd w:id="399"/>
      <w:bookmarkEnd w:id="400"/>
      <w:bookmarkEnd w:id="401"/>
    </w:p>
    <w:p>
      <w:pPr>
        <w:pStyle w:val="17"/>
        <w:numPr>
          <w:ilvl w:val="0"/>
          <w:numId w:val="0"/>
        </w:numPr>
        <w:spacing w:before="156" w:after="156"/>
        <w:rPr>
          <w:rFonts w:ascii="宋体" w:hAnsi="宋体" w:eastAsia="宋体" w:cs="Times New Roman"/>
          <w:color w:val="auto"/>
        </w:rPr>
      </w:pPr>
      <w:bookmarkStart w:id="402" w:name="_Toc459712006"/>
      <w:bookmarkStart w:id="403" w:name="_Toc459712176"/>
      <w:bookmarkStart w:id="404" w:name="_Toc459712284"/>
      <w:bookmarkStart w:id="405" w:name="_Toc459712091"/>
      <w:r>
        <w:rPr>
          <w:rFonts w:hint="eastAsia" w:hAnsi="宋体"/>
          <w:color w:val="auto"/>
          <w:lang w:val="en-US" w:eastAsia="zh-CN"/>
        </w:rPr>
        <w:t>9</w:t>
      </w:r>
      <w:r>
        <w:rPr>
          <w:rFonts w:hAnsi="宋体"/>
          <w:color w:val="auto"/>
        </w:rPr>
        <w:t>.2.1</w:t>
      </w:r>
      <w:r>
        <w:rPr>
          <w:rFonts w:hint="eastAsia" w:hAnsi="宋体"/>
          <w:color w:val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</w:rPr>
        <w:t>运输时轻装、轻卸，避免机械损伤。运输工具要清洁、卫生、无污染物、无杂物。</w:t>
      </w:r>
      <w:bookmarkEnd w:id="402"/>
      <w:bookmarkEnd w:id="403"/>
      <w:bookmarkEnd w:id="404"/>
      <w:bookmarkEnd w:id="405"/>
    </w:p>
    <w:p>
      <w:pPr>
        <w:pStyle w:val="17"/>
        <w:numPr>
          <w:ilvl w:val="0"/>
          <w:numId w:val="0"/>
        </w:numPr>
        <w:spacing w:before="156" w:after="156"/>
        <w:rPr>
          <w:rFonts w:ascii="宋体" w:hAnsi="宋体" w:eastAsia="宋体" w:cs="Times New Roman"/>
          <w:color w:val="auto"/>
        </w:rPr>
      </w:pPr>
      <w:bookmarkStart w:id="406" w:name="_Toc459712177"/>
      <w:bookmarkStart w:id="407" w:name="_Toc459712007"/>
      <w:bookmarkStart w:id="408" w:name="_Toc459712285"/>
      <w:bookmarkStart w:id="409" w:name="_Toc459712092"/>
      <w:r>
        <w:rPr>
          <w:rFonts w:hint="eastAsia" w:hAnsi="宋体"/>
          <w:color w:val="auto"/>
          <w:lang w:val="en-US" w:eastAsia="zh-CN"/>
        </w:rPr>
        <w:t>9</w:t>
      </w:r>
      <w:r>
        <w:rPr>
          <w:rFonts w:hAnsi="宋体"/>
          <w:color w:val="auto"/>
        </w:rPr>
        <w:t>.2.2</w:t>
      </w:r>
      <w:r>
        <w:rPr>
          <w:rFonts w:hint="eastAsia" w:hAnsi="宋体"/>
          <w:color w:val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</w:rPr>
        <w:t>防日晒、防雨淋，防挤压，不可裸露运输。</w:t>
      </w:r>
      <w:bookmarkEnd w:id="406"/>
      <w:bookmarkEnd w:id="407"/>
      <w:bookmarkEnd w:id="408"/>
      <w:bookmarkEnd w:id="409"/>
    </w:p>
    <w:p>
      <w:pPr>
        <w:pStyle w:val="17"/>
        <w:numPr>
          <w:ilvl w:val="0"/>
          <w:numId w:val="0"/>
        </w:numPr>
        <w:spacing w:before="156" w:after="156"/>
        <w:rPr>
          <w:rFonts w:ascii="宋体" w:hAnsi="宋体" w:eastAsia="宋体" w:cs="Times New Roman"/>
          <w:color w:val="auto"/>
        </w:rPr>
      </w:pPr>
      <w:bookmarkStart w:id="410" w:name="_Toc459712178"/>
      <w:bookmarkStart w:id="411" w:name="_Toc459712008"/>
      <w:bookmarkStart w:id="412" w:name="_Toc459712093"/>
      <w:bookmarkStart w:id="413" w:name="_Toc459712286"/>
      <w:r>
        <w:rPr>
          <w:rFonts w:hint="eastAsia" w:hAnsi="宋体"/>
          <w:color w:val="auto"/>
          <w:lang w:val="en-US" w:eastAsia="zh-CN"/>
        </w:rPr>
        <w:t>9</w:t>
      </w:r>
      <w:r>
        <w:rPr>
          <w:rFonts w:hAnsi="宋体"/>
          <w:color w:val="auto"/>
        </w:rPr>
        <w:t>.2.3</w:t>
      </w:r>
      <w:r>
        <w:rPr>
          <w:rFonts w:hint="eastAsia" w:hAnsi="宋体"/>
          <w:color w:val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</w:rPr>
        <w:t>不得与有毒有害物品、鲜活动物混装混运。</w:t>
      </w:r>
      <w:bookmarkEnd w:id="410"/>
      <w:bookmarkEnd w:id="411"/>
      <w:bookmarkEnd w:id="412"/>
      <w:bookmarkEnd w:id="413"/>
    </w:p>
    <w:p>
      <w:pPr>
        <w:pStyle w:val="17"/>
        <w:numPr>
          <w:ilvl w:val="0"/>
          <w:numId w:val="0"/>
        </w:numPr>
        <w:spacing w:before="156" w:after="156"/>
        <w:rPr>
          <w:rFonts w:ascii="宋体" w:hAnsi="宋体" w:eastAsia="宋体" w:cs="Times New Roman"/>
          <w:color w:val="auto"/>
        </w:rPr>
      </w:pPr>
      <w:bookmarkStart w:id="414" w:name="_Toc459712094"/>
      <w:bookmarkStart w:id="415" w:name="_Toc459712287"/>
      <w:bookmarkStart w:id="416" w:name="_Toc459712179"/>
      <w:bookmarkStart w:id="417" w:name="_Toc459712009"/>
      <w:r>
        <w:rPr>
          <w:rFonts w:hint="eastAsia" w:hAnsi="宋体"/>
          <w:color w:val="auto"/>
          <w:lang w:val="en-US" w:eastAsia="zh-CN"/>
        </w:rPr>
        <w:t>9</w:t>
      </w:r>
      <w:r>
        <w:rPr>
          <w:rFonts w:hAnsi="宋体"/>
          <w:color w:val="auto"/>
        </w:rPr>
        <w:t>.2.4</w:t>
      </w:r>
      <w:r>
        <w:rPr>
          <w:rFonts w:hint="eastAsia" w:hAnsi="宋体"/>
          <w:color w:val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</w:rPr>
        <w:t>鲜香菇应在低温条件下运输，以保持产品的良好品质。</w:t>
      </w:r>
      <w:bookmarkEnd w:id="414"/>
      <w:bookmarkEnd w:id="415"/>
      <w:bookmarkEnd w:id="416"/>
      <w:bookmarkEnd w:id="417"/>
    </w:p>
    <w:p>
      <w:pPr>
        <w:pStyle w:val="13"/>
        <w:spacing w:before="156" w:after="156"/>
        <w:rPr>
          <w:rFonts w:cs="Times New Roman"/>
          <w:color w:val="auto"/>
        </w:rPr>
      </w:pPr>
      <w:bookmarkStart w:id="418" w:name="_Toc459712010"/>
      <w:bookmarkStart w:id="419" w:name="_Toc459712342"/>
      <w:bookmarkStart w:id="420" w:name="_Toc459712095"/>
      <w:bookmarkStart w:id="421" w:name="_Toc459712588"/>
      <w:bookmarkStart w:id="422" w:name="_Toc459712288"/>
      <w:bookmarkStart w:id="423" w:name="_Toc459712180"/>
      <w:bookmarkStart w:id="424" w:name="_Toc459739787"/>
      <w:bookmarkStart w:id="425" w:name="_Toc459712439"/>
      <w:r>
        <w:rPr>
          <w:rFonts w:hint="eastAsia"/>
          <w:color w:val="auto"/>
        </w:rPr>
        <w:t>贮存</w:t>
      </w:r>
      <w:bookmarkEnd w:id="418"/>
      <w:bookmarkEnd w:id="419"/>
      <w:bookmarkEnd w:id="420"/>
      <w:bookmarkEnd w:id="421"/>
      <w:bookmarkEnd w:id="422"/>
      <w:bookmarkEnd w:id="423"/>
      <w:bookmarkEnd w:id="424"/>
      <w:bookmarkEnd w:id="425"/>
    </w:p>
    <w:p>
      <w:pPr>
        <w:pStyle w:val="17"/>
        <w:numPr>
          <w:ilvl w:val="0"/>
          <w:numId w:val="0"/>
        </w:numPr>
        <w:spacing w:before="156" w:after="156"/>
        <w:rPr>
          <w:rFonts w:ascii="宋体" w:hAnsi="宋体" w:eastAsia="宋体" w:cs="Times New Roman"/>
          <w:color w:val="auto"/>
        </w:rPr>
      </w:pPr>
      <w:bookmarkStart w:id="426" w:name="_Toc459712289"/>
      <w:bookmarkStart w:id="427" w:name="_Toc459712096"/>
      <w:bookmarkStart w:id="428" w:name="_Toc459712181"/>
      <w:bookmarkStart w:id="429" w:name="_Toc459712011"/>
      <w:r>
        <w:rPr>
          <w:rFonts w:hint="eastAsia" w:hAnsi="宋体"/>
          <w:color w:val="auto"/>
          <w:lang w:val="en-US" w:eastAsia="zh-CN"/>
        </w:rPr>
        <w:t>9</w:t>
      </w:r>
      <w:r>
        <w:rPr>
          <w:rFonts w:hAnsi="宋体"/>
          <w:color w:val="auto"/>
        </w:rPr>
        <w:t>.3.1</w:t>
      </w:r>
      <w:r>
        <w:rPr>
          <w:rFonts w:hint="eastAsia" w:hAnsi="宋体"/>
          <w:color w:val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</w:rPr>
        <w:t>干香菇：在避光、阴凉、干燥、洁净处贮存，注意防霉、防虫，不得直接裸露空间。</w:t>
      </w:r>
      <w:bookmarkEnd w:id="426"/>
      <w:bookmarkEnd w:id="427"/>
      <w:bookmarkEnd w:id="428"/>
      <w:bookmarkEnd w:id="429"/>
    </w:p>
    <w:p>
      <w:pPr>
        <w:pStyle w:val="17"/>
        <w:numPr>
          <w:ilvl w:val="0"/>
          <w:numId w:val="0"/>
        </w:numPr>
        <w:spacing w:before="156" w:after="156"/>
        <w:rPr>
          <w:rFonts w:ascii="宋体" w:hAnsi="宋体" w:eastAsia="宋体" w:cs="Times New Roman"/>
          <w:color w:val="auto"/>
        </w:rPr>
      </w:pPr>
      <w:bookmarkStart w:id="430" w:name="_Toc459712012"/>
      <w:bookmarkStart w:id="431" w:name="_Toc459712290"/>
      <w:bookmarkStart w:id="432" w:name="_Toc459712097"/>
      <w:bookmarkStart w:id="433" w:name="_Toc459712182"/>
      <w:r>
        <w:rPr>
          <w:rFonts w:hint="eastAsia" w:hAnsi="宋体"/>
          <w:color w:val="auto"/>
          <w:lang w:val="en-US" w:eastAsia="zh-CN"/>
        </w:rPr>
        <w:t>9</w:t>
      </w:r>
      <w:r>
        <w:rPr>
          <w:rFonts w:hAnsi="宋体"/>
          <w:color w:val="auto"/>
        </w:rPr>
        <w:t>.3.2</w:t>
      </w:r>
      <w:r>
        <w:rPr>
          <w:rFonts w:hint="eastAsia" w:hAnsi="宋体"/>
          <w:color w:val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</w:rPr>
        <w:t>鲜香菇：在</w:t>
      </w:r>
      <w:r>
        <w:rPr>
          <w:rFonts w:ascii="宋体" w:hAnsi="宋体" w:eastAsia="宋体" w:cs="宋体"/>
          <w:color w:val="auto"/>
        </w:rPr>
        <w:t>1</w:t>
      </w:r>
      <w:r>
        <w:rPr>
          <w:rFonts w:hint="eastAsia" w:ascii="宋体" w:hAnsi="宋体" w:eastAsia="宋体" w:cs="宋体"/>
          <w:color w:val="auto"/>
        </w:rPr>
        <w:t>℃～</w:t>
      </w:r>
      <w:r>
        <w:rPr>
          <w:rFonts w:ascii="宋体" w:hAnsi="宋体" w:eastAsia="宋体" w:cs="宋体"/>
          <w:color w:val="auto"/>
        </w:rPr>
        <w:t>5</w:t>
      </w:r>
      <w:r>
        <w:rPr>
          <w:rFonts w:hint="eastAsia" w:ascii="宋体" w:hAnsi="宋体" w:eastAsia="宋体" w:cs="宋体"/>
          <w:color w:val="auto"/>
        </w:rPr>
        <w:t>℃的冷库中贮存。</w:t>
      </w:r>
      <w:bookmarkEnd w:id="430"/>
      <w:bookmarkEnd w:id="431"/>
      <w:bookmarkEnd w:id="432"/>
      <w:bookmarkEnd w:id="433"/>
    </w:p>
    <w:p>
      <w:pPr>
        <w:pStyle w:val="17"/>
        <w:numPr>
          <w:ilvl w:val="0"/>
          <w:numId w:val="0"/>
        </w:numPr>
        <w:spacing w:before="156" w:after="156"/>
        <w:rPr>
          <w:rFonts w:ascii="宋体" w:hAnsi="宋体" w:eastAsia="宋体" w:cs="Times New Roman"/>
          <w:color w:val="auto"/>
        </w:rPr>
      </w:pPr>
      <w:bookmarkStart w:id="434" w:name="_Toc459712098"/>
      <w:bookmarkStart w:id="435" w:name="_Toc459712291"/>
      <w:bookmarkStart w:id="436" w:name="_Toc459712013"/>
      <w:bookmarkStart w:id="437" w:name="_Toc459712183"/>
      <w:r>
        <w:rPr>
          <w:rFonts w:hint="eastAsia" w:hAnsi="宋体"/>
          <w:color w:val="auto"/>
          <w:lang w:val="en-US" w:eastAsia="zh-CN"/>
        </w:rPr>
        <w:t>9</w:t>
      </w:r>
      <w:r>
        <w:rPr>
          <w:rFonts w:hAnsi="宋体"/>
          <w:color w:val="auto"/>
        </w:rPr>
        <w:t>.3.3</w:t>
      </w:r>
      <w:r>
        <w:rPr>
          <w:rFonts w:hint="eastAsia" w:hAnsi="宋体"/>
          <w:color w:val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</w:rPr>
        <w:t>严禁与有毒、有害、有异味物品混放。</w:t>
      </w:r>
      <w:bookmarkEnd w:id="434"/>
      <w:bookmarkEnd w:id="435"/>
      <w:bookmarkEnd w:id="436"/>
      <w:bookmarkEnd w:id="437"/>
    </w:p>
    <w:p>
      <w:pPr>
        <w:pStyle w:val="34"/>
        <w:numPr>
          <w:ilvl w:val="0"/>
          <w:numId w:val="0"/>
        </w:numPr>
        <w:ind w:left="363" w:leftChars="0"/>
        <w:jc w:val="both"/>
        <w:rPr>
          <w:color w:val="auto"/>
        </w:rPr>
      </w:pPr>
    </w:p>
    <w:p>
      <w:pPr>
        <w:pStyle w:val="29"/>
        <w:numPr>
          <w:numId w:val="0"/>
        </w:numPr>
        <w:jc w:val="both"/>
        <w:rPr>
          <w:color w:val="auto"/>
        </w:rPr>
      </w:pPr>
    </w:p>
    <w:p>
      <w:pPr>
        <w:pStyle w:val="28"/>
        <w:numPr>
          <w:ilvl w:val="0"/>
          <w:numId w:val="0"/>
        </w:numPr>
        <w:shd w:val="clear" w:color="FFFFFF" w:fill="FFFFFF"/>
        <w:jc w:val="center"/>
        <w:rPr>
          <w:rFonts w:cs="Times New Roman"/>
          <w:color w:val="auto"/>
        </w:rPr>
      </w:pPr>
      <w:bookmarkStart w:id="438" w:name="_Toc459743081"/>
      <w:bookmarkStart w:id="439" w:name="_Toc459742971"/>
      <w:r>
        <w:rPr>
          <w:rFonts w:hint="eastAsia"/>
          <w:lang w:val="en-US" w:eastAsia="zh-CN"/>
        </w:rPr>
        <w:t>附录A</w:t>
      </w:r>
      <w:r>
        <w:br w:type="textWrapping"/>
      </w:r>
      <w:bookmarkStart w:id="440" w:name="_GoBack"/>
      <w:bookmarkEnd w:id="440"/>
      <w:r>
        <w:rPr>
          <w:rFonts w:hint="eastAsia"/>
        </w:rPr>
        <w:t>（资料性附录）</w:t>
      </w:r>
      <w:r>
        <w:br w:type="textWrapping"/>
      </w:r>
      <w:r>
        <w:rPr>
          <w:rFonts w:hint="eastAsia"/>
          <w:color w:val="auto"/>
        </w:rPr>
        <w:t>地理标志保护产品　利州香菇保护范围</w:t>
      </w:r>
      <w:bookmarkEnd w:id="438"/>
      <w:bookmarkEnd w:id="439"/>
    </w:p>
    <w:p>
      <w:pPr>
        <w:pStyle w:val="11"/>
        <w:ind w:firstLine="0" w:firstLineChars="0"/>
        <w:rPr>
          <w:rFonts w:hint="eastAsia" w:eastAsia="宋体" w:cs="Times New Roman"/>
          <w:color w:val="auto"/>
          <w:lang w:eastAsia="zh-CN"/>
        </w:rPr>
      </w:pPr>
      <w:r>
        <w:rPr>
          <w:rFonts w:hint="eastAsia" w:eastAsia="宋体" w:cs="Times New Roman"/>
          <w:color w:val="auto"/>
          <w:lang w:eastAsia="zh-CN"/>
        </w:rPr>
        <w:drawing>
          <wp:inline distT="0" distB="0" distL="114300" distR="114300">
            <wp:extent cx="5269865" cy="3723005"/>
            <wp:effectExtent l="0" t="0" r="6985" b="10795"/>
            <wp:docPr id="1" name="图片 1" descr="周修涛 利州香菇保护区范围图0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周修涛 利州香菇保护区范围图01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7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ind w:firstLine="0" w:firstLineChars="0"/>
        <w:jc w:val="center"/>
        <w:rPr>
          <w:rFonts w:cs="Times New Roman"/>
          <w:color w:val="auto"/>
        </w:rPr>
      </w:pPr>
    </w:p>
    <w:p>
      <w:pPr>
        <w:rPr>
          <w:color w:val="auto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rPr>
        <w:rFonts w:cs="Times New Roman"/>
      </w:rPr>
    </w:pPr>
    <w:r>
      <w:fldChar w:fldCharType="begin"/>
    </w:r>
    <w:r>
      <w:instrText xml:space="preserve"> PAGE  \* MERGEFORMAT </w:instrText>
    </w:r>
    <w:r>
      <w:fldChar w:fldCharType="separate"/>
    </w:r>
    <w:r>
      <w:t>I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rPr>
        <w:rFonts w:cs="Times New Roman"/>
      </w:rPr>
    </w:pPr>
    <w:r>
      <w:fldChar w:fldCharType="begin"/>
    </w:r>
    <w:r>
      <w:instrText xml:space="preserve"> PAGE  \* MERGEFORMAT </w:instrText>
    </w:r>
    <w:r>
      <w:fldChar w:fldCharType="separate"/>
    </w:r>
    <w:r>
      <w:t>I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6"/>
      <w:suff w:val="nothing"/>
      <w:lvlText w:val="%1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1" w:tentative="0">
      <w:start w:val="1"/>
      <w:numFmt w:val="decimal"/>
      <w:pStyle w:val="13"/>
      <w:suff w:val="nothing"/>
      <w:lvlText w:val="%1.%2　"/>
      <w:lvlJc w:val="left"/>
      <w:rPr>
        <w:rFonts w:hint="eastAsia" w:ascii="黑体" w:hAnsi="Times New Roman" w:eastAsia="黑体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7"/>
      <w:suff w:val="nothing"/>
      <w:lvlText w:val="%1.%2.%3　"/>
      <w:lvlJc w:val="left"/>
      <w:pPr>
        <w:ind w:left="426"/>
      </w:pPr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19"/>
      <w:suff w:val="nothing"/>
      <w:lvlText w:val="%1.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pStyle w:val="20"/>
      <w:suff w:val="nothing"/>
      <w:lvlText w:val="%1.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pStyle w:val="21"/>
      <w:suff w:val="nothing"/>
      <w:lvlText w:val="%1.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2A8F7113"/>
    <w:multiLevelType w:val="multilevel"/>
    <w:tmpl w:val="2A8F7113"/>
    <w:lvl w:ilvl="0" w:tentative="0">
      <w:start w:val="1"/>
      <w:numFmt w:val="upperLetter"/>
      <w:pStyle w:val="34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35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2">
    <w:nsid w:val="60B55DC2"/>
    <w:multiLevelType w:val="multilevel"/>
    <w:tmpl w:val="60B55DC2"/>
    <w:lvl w:ilvl="0" w:tentative="0">
      <w:start w:val="1"/>
      <w:numFmt w:val="upperLetter"/>
      <w:pStyle w:val="29"/>
      <w:lvlText w:val="%1"/>
      <w:lvlJc w:val="left"/>
      <w:pPr>
        <w:tabs>
          <w:tab w:val="left" w:pos="0"/>
        </w:tabs>
        <w:ind w:hanging="425"/>
      </w:pPr>
      <w:rPr>
        <w:rFonts w:hint="eastAsia"/>
      </w:rPr>
    </w:lvl>
    <w:lvl w:ilvl="1" w:tentative="0">
      <w:start w:val="1"/>
      <w:numFmt w:val="decimal"/>
      <w:pStyle w:val="30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3">
    <w:nsid w:val="657D3FBC"/>
    <w:multiLevelType w:val="multilevel"/>
    <w:tmpl w:val="657D3FBC"/>
    <w:lvl w:ilvl="0" w:tentative="0">
      <w:start w:val="1"/>
      <w:numFmt w:val="upperLetter"/>
      <w:pStyle w:val="28"/>
      <w:suff w:val="nothing"/>
      <w:lvlText w:val="附　录　%1"/>
      <w:lvlJc w:val="left"/>
      <w:rPr>
        <w:rFonts w:hint="eastAsia" w:ascii="黑体" w:hAnsi="Times New Roman" w:eastAsia="黑体"/>
        <w:b w:val="0"/>
        <w:bCs w:val="0"/>
        <w:i w:val="0"/>
        <w:iCs w:val="0"/>
        <w:spacing w:val="0"/>
        <w:w w:val="100"/>
        <w:sz w:val="21"/>
        <w:szCs w:val="21"/>
      </w:rPr>
    </w:lvl>
    <w:lvl w:ilvl="1" w:tentative="0">
      <w:start w:val="1"/>
      <w:numFmt w:val="decimal"/>
      <w:pStyle w:val="37"/>
      <w:suff w:val="nothing"/>
      <w:lvlText w:val="%1.%2　"/>
      <w:lvlJc w:val="left"/>
      <w:rPr>
        <w:rFonts w:hint="eastAsia" w:ascii="黑体" w:hAnsi="Times New Roman" w:eastAsia="黑体"/>
        <w:b w:val="0"/>
        <w:bCs w:val="0"/>
        <w:i w:val="0"/>
        <w:iCs w:val="0"/>
        <w:snapToGrid/>
        <w:spacing w:val="0"/>
        <w:w w:val="100"/>
        <w:kern w:val="21"/>
        <w:sz w:val="21"/>
        <w:szCs w:val="21"/>
      </w:rPr>
    </w:lvl>
    <w:lvl w:ilvl="2" w:tentative="0">
      <w:start w:val="1"/>
      <w:numFmt w:val="decimal"/>
      <w:pStyle w:val="38"/>
      <w:suff w:val="nothing"/>
      <w:lvlText w:val="%1.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31"/>
      <w:suff w:val="nothing"/>
      <w:lvlText w:val="%1.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pStyle w:val="32"/>
      <w:suff w:val="nothing"/>
      <w:lvlText w:val="%1.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pStyle w:val="33"/>
      <w:suff w:val="nothing"/>
      <w:lvlText w:val="%1.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pStyle w:val="36"/>
      <w:suff w:val="nothing"/>
      <w:lvlText w:val="%1.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2OTc1NzBmOTY1NzQ1YzU1YTI3MjQwNDkxMGQxZjUifQ=="/>
  </w:docVars>
  <w:rsids>
    <w:rsidRoot w:val="003B64AF"/>
    <w:rsid w:val="00027C16"/>
    <w:rsid w:val="00073192"/>
    <w:rsid w:val="00074687"/>
    <w:rsid w:val="000922E9"/>
    <w:rsid w:val="000B0AD1"/>
    <w:rsid w:val="000B7DD9"/>
    <w:rsid w:val="000C12F7"/>
    <w:rsid w:val="000E0D82"/>
    <w:rsid w:val="000F358C"/>
    <w:rsid w:val="00106A0A"/>
    <w:rsid w:val="00114794"/>
    <w:rsid w:val="00125FAF"/>
    <w:rsid w:val="0013206E"/>
    <w:rsid w:val="00140F1E"/>
    <w:rsid w:val="0014714E"/>
    <w:rsid w:val="00153A92"/>
    <w:rsid w:val="0016363B"/>
    <w:rsid w:val="001825B0"/>
    <w:rsid w:val="001A1690"/>
    <w:rsid w:val="001C1C24"/>
    <w:rsid w:val="001C7716"/>
    <w:rsid w:val="001D3A42"/>
    <w:rsid w:val="001F01B0"/>
    <w:rsid w:val="002021CE"/>
    <w:rsid w:val="0021199A"/>
    <w:rsid w:val="00222056"/>
    <w:rsid w:val="00226D0E"/>
    <w:rsid w:val="00231CC7"/>
    <w:rsid w:val="0025609E"/>
    <w:rsid w:val="002602CD"/>
    <w:rsid w:val="00263408"/>
    <w:rsid w:val="002A435A"/>
    <w:rsid w:val="002B06B1"/>
    <w:rsid w:val="002D7A06"/>
    <w:rsid w:val="002F3043"/>
    <w:rsid w:val="003036A6"/>
    <w:rsid w:val="00313D5F"/>
    <w:rsid w:val="0032335A"/>
    <w:rsid w:val="0033228C"/>
    <w:rsid w:val="003802DA"/>
    <w:rsid w:val="003A7645"/>
    <w:rsid w:val="003B64AF"/>
    <w:rsid w:val="003D2089"/>
    <w:rsid w:val="003E23CE"/>
    <w:rsid w:val="003E2F51"/>
    <w:rsid w:val="003F71AB"/>
    <w:rsid w:val="004040BB"/>
    <w:rsid w:val="00457B19"/>
    <w:rsid w:val="00466390"/>
    <w:rsid w:val="00487990"/>
    <w:rsid w:val="004D1962"/>
    <w:rsid w:val="004D2190"/>
    <w:rsid w:val="004E2172"/>
    <w:rsid w:val="004E4662"/>
    <w:rsid w:val="004E4B52"/>
    <w:rsid w:val="004F43B9"/>
    <w:rsid w:val="004F765E"/>
    <w:rsid w:val="00503807"/>
    <w:rsid w:val="00523EB5"/>
    <w:rsid w:val="00567248"/>
    <w:rsid w:val="005B0A82"/>
    <w:rsid w:val="005B0DFA"/>
    <w:rsid w:val="005B3DD2"/>
    <w:rsid w:val="005B6C36"/>
    <w:rsid w:val="005C2871"/>
    <w:rsid w:val="005E6398"/>
    <w:rsid w:val="00603BA9"/>
    <w:rsid w:val="00620893"/>
    <w:rsid w:val="0062717B"/>
    <w:rsid w:val="00641B8C"/>
    <w:rsid w:val="006651FC"/>
    <w:rsid w:val="00665B2E"/>
    <w:rsid w:val="006714DA"/>
    <w:rsid w:val="006852E3"/>
    <w:rsid w:val="00690EC5"/>
    <w:rsid w:val="006A0232"/>
    <w:rsid w:val="006E0F0C"/>
    <w:rsid w:val="006E505D"/>
    <w:rsid w:val="00722C51"/>
    <w:rsid w:val="00735ECD"/>
    <w:rsid w:val="00743112"/>
    <w:rsid w:val="0075705E"/>
    <w:rsid w:val="007870CC"/>
    <w:rsid w:val="007874EE"/>
    <w:rsid w:val="00793215"/>
    <w:rsid w:val="00793A58"/>
    <w:rsid w:val="007B3FD4"/>
    <w:rsid w:val="007B4087"/>
    <w:rsid w:val="007C64E3"/>
    <w:rsid w:val="007C6567"/>
    <w:rsid w:val="007C6620"/>
    <w:rsid w:val="007D7E1C"/>
    <w:rsid w:val="00801A78"/>
    <w:rsid w:val="008026F1"/>
    <w:rsid w:val="00807E22"/>
    <w:rsid w:val="00820E1D"/>
    <w:rsid w:val="008227D9"/>
    <w:rsid w:val="008425F3"/>
    <w:rsid w:val="00865082"/>
    <w:rsid w:val="00871293"/>
    <w:rsid w:val="00876DDE"/>
    <w:rsid w:val="00887965"/>
    <w:rsid w:val="008A2EE8"/>
    <w:rsid w:val="008A5665"/>
    <w:rsid w:val="008A76B3"/>
    <w:rsid w:val="008D231A"/>
    <w:rsid w:val="008F7F9D"/>
    <w:rsid w:val="0093304E"/>
    <w:rsid w:val="00933ADF"/>
    <w:rsid w:val="009600B0"/>
    <w:rsid w:val="009646DD"/>
    <w:rsid w:val="0096513F"/>
    <w:rsid w:val="00967685"/>
    <w:rsid w:val="00986DF9"/>
    <w:rsid w:val="00996FD2"/>
    <w:rsid w:val="009A583F"/>
    <w:rsid w:val="009A7B5E"/>
    <w:rsid w:val="009B5DBA"/>
    <w:rsid w:val="009D754A"/>
    <w:rsid w:val="009E010F"/>
    <w:rsid w:val="009E11A3"/>
    <w:rsid w:val="009E163C"/>
    <w:rsid w:val="009F680C"/>
    <w:rsid w:val="00A03832"/>
    <w:rsid w:val="00A31D10"/>
    <w:rsid w:val="00A50145"/>
    <w:rsid w:val="00A714DF"/>
    <w:rsid w:val="00A7636C"/>
    <w:rsid w:val="00AA73BD"/>
    <w:rsid w:val="00AC2587"/>
    <w:rsid w:val="00AD2C9E"/>
    <w:rsid w:val="00AD3FA9"/>
    <w:rsid w:val="00AD49E6"/>
    <w:rsid w:val="00AD4ADB"/>
    <w:rsid w:val="00AE2C12"/>
    <w:rsid w:val="00AE6943"/>
    <w:rsid w:val="00AF1D10"/>
    <w:rsid w:val="00B14A6E"/>
    <w:rsid w:val="00B25275"/>
    <w:rsid w:val="00B3694A"/>
    <w:rsid w:val="00B55245"/>
    <w:rsid w:val="00B72649"/>
    <w:rsid w:val="00B814D5"/>
    <w:rsid w:val="00BB696F"/>
    <w:rsid w:val="00BE338E"/>
    <w:rsid w:val="00BF0685"/>
    <w:rsid w:val="00C27C4F"/>
    <w:rsid w:val="00C3418A"/>
    <w:rsid w:val="00C62D2F"/>
    <w:rsid w:val="00C70560"/>
    <w:rsid w:val="00C71A7F"/>
    <w:rsid w:val="00CA7A58"/>
    <w:rsid w:val="00CB7756"/>
    <w:rsid w:val="00CD067C"/>
    <w:rsid w:val="00CD07F5"/>
    <w:rsid w:val="00CE7753"/>
    <w:rsid w:val="00CF6454"/>
    <w:rsid w:val="00D00159"/>
    <w:rsid w:val="00D028C9"/>
    <w:rsid w:val="00D0421D"/>
    <w:rsid w:val="00D04FB0"/>
    <w:rsid w:val="00D226FA"/>
    <w:rsid w:val="00D314B4"/>
    <w:rsid w:val="00D50CB8"/>
    <w:rsid w:val="00D51118"/>
    <w:rsid w:val="00D51E60"/>
    <w:rsid w:val="00D576F1"/>
    <w:rsid w:val="00DB2D4C"/>
    <w:rsid w:val="00DE5DB4"/>
    <w:rsid w:val="00DF3FF2"/>
    <w:rsid w:val="00E054E0"/>
    <w:rsid w:val="00E230E0"/>
    <w:rsid w:val="00E25DAC"/>
    <w:rsid w:val="00E400BB"/>
    <w:rsid w:val="00E4082B"/>
    <w:rsid w:val="00E418FA"/>
    <w:rsid w:val="00E54DC4"/>
    <w:rsid w:val="00E758B3"/>
    <w:rsid w:val="00E90CDC"/>
    <w:rsid w:val="00E97D18"/>
    <w:rsid w:val="00EA0EC9"/>
    <w:rsid w:val="00EA72B0"/>
    <w:rsid w:val="00EB1E04"/>
    <w:rsid w:val="00EC08A2"/>
    <w:rsid w:val="00ED6DB6"/>
    <w:rsid w:val="00EF3148"/>
    <w:rsid w:val="00F01C6E"/>
    <w:rsid w:val="00F35223"/>
    <w:rsid w:val="00F4100A"/>
    <w:rsid w:val="00F41191"/>
    <w:rsid w:val="00F660E5"/>
    <w:rsid w:val="00F769E8"/>
    <w:rsid w:val="00F7759E"/>
    <w:rsid w:val="00FA16DD"/>
    <w:rsid w:val="00FB7B3E"/>
    <w:rsid w:val="00FE5229"/>
    <w:rsid w:val="102C2DB1"/>
    <w:rsid w:val="106E0876"/>
    <w:rsid w:val="10B77AD4"/>
    <w:rsid w:val="13694FCC"/>
    <w:rsid w:val="15737169"/>
    <w:rsid w:val="16697137"/>
    <w:rsid w:val="16ED3C72"/>
    <w:rsid w:val="1BB75383"/>
    <w:rsid w:val="261F21D6"/>
    <w:rsid w:val="27FC457D"/>
    <w:rsid w:val="2F7B047E"/>
    <w:rsid w:val="3161564E"/>
    <w:rsid w:val="3A2C1137"/>
    <w:rsid w:val="42502A2C"/>
    <w:rsid w:val="43884EB6"/>
    <w:rsid w:val="47DF7A45"/>
    <w:rsid w:val="49135571"/>
    <w:rsid w:val="4E6A50E0"/>
    <w:rsid w:val="54EB5E07"/>
    <w:rsid w:val="5B5629BB"/>
    <w:rsid w:val="62204254"/>
    <w:rsid w:val="625E7F3F"/>
    <w:rsid w:val="63332842"/>
    <w:rsid w:val="69D07F14"/>
    <w:rsid w:val="703057CD"/>
    <w:rsid w:val="70A20419"/>
    <w:rsid w:val="74C4779E"/>
    <w:rsid w:val="789A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4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snapToGrid w:val="0"/>
      <w:ind w:right="210" w:rightChars="100"/>
      <w:jc w:val="right"/>
    </w:pPr>
    <w:rPr>
      <w:sz w:val="18"/>
      <w:szCs w:val="18"/>
    </w:rPr>
  </w:style>
  <w:style w:type="paragraph" w:styleId="5">
    <w:name w:val="header"/>
    <w:basedOn w:val="1"/>
    <w:link w:val="4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semiHidden/>
    <w:qFormat/>
    <w:uiPriority w:val="99"/>
    <w:pPr>
      <w:tabs>
        <w:tab w:val="right" w:leader="dot" w:pos="9241"/>
      </w:tabs>
      <w:spacing w:beforeLines="25" w:afterLines="25"/>
      <w:jc w:val="left"/>
    </w:pPr>
    <w:rPr>
      <w:rFonts w:ascii="宋体" w:cs="宋体"/>
    </w:rPr>
  </w:style>
  <w:style w:type="character" w:styleId="9">
    <w:name w:val="Hyperlink"/>
    <w:basedOn w:val="8"/>
    <w:qFormat/>
    <w:uiPriority w:val="99"/>
    <w:rPr>
      <w:color w:val="0000FF"/>
      <w:spacing w:val="0"/>
      <w:w w:val="100"/>
      <w:sz w:val="21"/>
      <w:szCs w:val="21"/>
      <w:u w:val="single"/>
    </w:rPr>
  </w:style>
  <w:style w:type="character" w:customStyle="1" w:styleId="10">
    <w:name w:val="页脚 Char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1">
    <w:name w:val="段"/>
    <w:link w:val="12"/>
    <w:qFormat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宋体"/>
      <w:kern w:val="0"/>
      <w:sz w:val="21"/>
      <w:szCs w:val="21"/>
      <w:lang w:val="en-US" w:eastAsia="zh-CN" w:bidi="ar-SA"/>
    </w:rPr>
  </w:style>
  <w:style w:type="character" w:customStyle="1" w:styleId="12">
    <w:name w:val="段 Char"/>
    <w:basedOn w:val="8"/>
    <w:link w:val="11"/>
    <w:qFormat/>
    <w:locked/>
    <w:uiPriority w:val="99"/>
    <w:rPr>
      <w:rFonts w:ascii="宋体" w:hAnsi="Times New Roman" w:eastAsia="宋体" w:cs="宋体"/>
      <w:kern w:val="0"/>
      <w:szCs w:val="21"/>
    </w:rPr>
  </w:style>
  <w:style w:type="paragraph" w:customStyle="1" w:styleId="13">
    <w:name w:val="一级条标题"/>
    <w:next w:val="11"/>
    <w:qFormat/>
    <w:uiPriority w:val="99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黑体"/>
      <w:kern w:val="0"/>
      <w:sz w:val="21"/>
      <w:szCs w:val="21"/>
      <w:lang w:val="en-US" w:eastAsia="zh-CN" w:bidi="ar-SA"/>
    </w:rPr>
  </w:style>
  <w:style w:type="paragraph" w:customStyle="1" w:styleId="14">
    <w:name w:val="标准书脚_奇数页"/>
    <w:qFormat/>
    <w:uiPriority w:val="99"/>
    <w:pPr>
      <w:spacing w:before="120"/>
      <w:ind w:right="198"/>
      <w:jc w:val="right"/>
    </w:pPr>
    <w:rPr>
      <w:rFonts w:ascii="宋体" w:hAnsi="Times New Roman" w:eastAsia="宋体" w:cs="宋体"/>
      <w:kern w:val="0"/>
      <w:sz w:val="18"/>
      <w:szCs w:val="18"/>
      <w:lang w:val="en-US" w:eastAsia="zh-CN" w:bidi="ar-SA"/>
    </w:rPr>
  </w:style>
  <w:style w:type="paragraph" w:customStyle="1" w:styleId="15">
    <w:name w:val="标准书眉_奇数页"/>
    <w:next w:val="1"/>
    <w:qFormat/>
    <w:uiPriority w:val="99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黑体"/>
      <w:kern w:val="0"/>
      <w:sz w:val="21"/>
      <w:szCs w:val="21"/>
      <w:lang w:val="en-US" w:eastAsia="zh-CN" w:bidi="ar-SA"/>
    </w:rPr>
  </w:style>
  <w:style w:type="paragraph" w:customStyle="1" w:styleId="16">
    <w:name w:val="章标题"/>
    <w:next w:val="11"/>
    <w:qFormat/>
    <w:uiPriority w:val="99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黑体"/>
      <w:kern w:val="0"/>
      <w:sz w:val="21"/>
      <w:szCs w:val="21"/>
      <w:lang w:val="en-US" w:eastAsia="zh-CN" w:bidi="ar-SA"/>
    </w:rPr>
  </w:style>
  <w:style w:type="paragraph" w:customStyle="1" w:styleId="17">
    <w:name w:val="二级条标题"/>
    <w:basedOn w:val="13"/>
    <w:next w:val="11"/>
    <w:qFormat/>
    <w:uiPriority w:val="99"/>
    <w:pPr>
      <w:numPr>
        <w:ilvl w:val="2"/>
      </w:numPr>
      <w:spacing w:before="50" w:after="50"/>
      <w:outlineLvl w:val="3"/>
    </w:pPr>
  </w:style>
  <w:style w:type="paragraph" w:customStyle="1" w:styleId="18">
    <w:name w:val="目次、标准名称标题"/>
    <w:basedOn w:val="1"/>
    <w:next w:val="11"/>
    <w:qFormat/>
    <w:uiPriority w:val="99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cs="黑体"/>
      <w:kern w:val="0"/>
      <w:sz w:val="32"/>
      <w:szCs w:val="32"/>
    </w:rPr>
  </w:style>
  <w:style w:type="paragraph" w:customStyle="1" w:styleId="19">
    <w:name w:val="三级条标题"/>
    <w:basedOn w:val="17"/>
    <w:next w:val="11"/>
    <w:qFormat/>
    <w:uiPriority w:val="99"/>
    <w:pPr>
      <w:numPr>
        <w:ilvl w:val="3"/>
      </w:numPr>
      <w:ind w:left="0"/>
      <w:outlineLvl w:val="4"/>
    </w:pPr>
  </w:style>
  <w:style w:type="paragraph" w:customStyle="1" w:styleId="20">
    <w:name w:val="四级条标题"/>
    <w:basedOn w:val="19"/>
    <w:next w:val="11"/>
    <w:qFormat/>
    <w:uiPriority w:val="99"/>
    <w:pPr>
      <w:numPr>
        <w:ilvl w:val="4"/>
      </w:numPr>
      <w:outlineLvl w:val="5"/>
    </w:pPr>
  </w:style>
  <w:style w:type="paragraph" w:customStyle="1" w:styleId="21">
    <w:name w:val="五级条标题"/>
    <w:basedOn w:val="20"/>
    <w:next w:val="11"/>
    <w:qFormat/>
    <w:uiPriority w:val="99"/>
    <w:pPr>
      <w:numPr>
        <w:ilvl w:val="5"/>
      </w:numPr>
      <w:outlineLvl w:val="6"/>
    </w:pPr>
  </w:style>
  <w:style w:type="character" w:customStyle="1" w:styleId="22">
    <w:name w:val="发布"/>
    <w:basedOn w:val="8"/>
    <w:qFormat/>
    <w:uiPriority w:val="99"/>
    <w:rPr>
      <w:rFonts w:ascii="黑体" w:eastAsia="黑体" w:cs="黑体"/>
      <w:spacing w:val="85"/>
      <w:w w:val="100"/>
      <w:position w:val="3"/>
      <w:sz w:val="28"/>
      <w:szCs w:val="28"/>
    </w:rPr>
  </w:style>
  <w:style w:type="paragraph" w:customStyle="1" w:styleId="23">
    <w:name w:val="封面标准名称"/>
    <w:qFormat/>
    <w:uiPriority w:val="99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黑体"/>
      <w:kern w:val="0"/>
      <w:sz w:val="52"/>
      <w:szCs w:val="52"/>
      <w:lang w:val="en-US" w:eastAsia="zh-CN" w:bidi="ar-SA"/>
    </w:rPr>
  </w:style>
  <w:style w:type="paragraph" w:customStyle="1" w:styleId="24">
    <w:name w:val="封面标准英文名称"/>
    <w:basedOn w:val="23"/>
    <w:qFormat/>
    <w:uiPriority w:val="99"/>
    <w:pPr>
      <w:framePr w:wrap="around"/>
      <w:spacing w:before="370" w:line="400" w:lineRule="exact"/>
    </w:pPr>
    <w:rPr>
      <w:rFonts w:ascii="Times New Roman" w:cs="Times New Roman"/>
      <w:sz w:val="28"/>
      <w:szCs w:val="28"/>
    </w:rPr>
  </w:style>
  <w:style w:type="paragraph" w:customStyle="1" w:styleId="25">
    <w:name w:val="封面一致性程度标识"/>
    <w:basedOn w:val="24"/>
    <w:qFormat/>
    <w:uiPriority w:val="99"/>
    <w:pPr>
      <w:framePr w:wrap="around"/>
      <w:spacing w:before="440"/>
    </w:pPr>
    <w:rPr>
      <w:rFonts w:ascii="宋体" w:eastAsia="宋体" w:cs="宋体"/>
    </w:rPr>
  </w:style>
  <w:style w:type="paragraph" w:customStyle="1" w:styleId="26">
    <w:name w:val="封面标准文稿类别"/>
    <w:basedOn w:val="25"/>
    <w:qFormat/>
    <w:uiPriority w:val="99"/>
    <w:pPr>
      <w:framePr w:wrap="around"/>
      <w:spacing w:after="160" w:line="240" w:lineRule="auto"/>
    </w:pPr>
    <w:rPr>
      <w:sz w:val="24"/>
      <w:szCs w:val="24"/>
    </w:rPr>
  </w:style>
  <w:style w:type="paragraph" w:customStyle="1" w:styleId="27">
    <w:name w:val="封面标准文稿编辑信息"/>
    <w:basedOn w:val="26"/>
    <w:qFormat/>
    <w:uiPriority w:val="99"/>
    <w:pPr>
      <w:framePr w:wrap="around"/>
      <w:spacing w:before="180" w:line="180" w:lineRule="exact"/>
    </w:pPr>
    <w:rPr>
      <w:sz w:val="21"/>
      <w:szCs w:val="21"/>
    </w:rPr>
  </w:style>
  <w:style w:type="paragraph" w:customStyle="1" w:styleId="28">
    <w:name w:val="附录标识"/>
    <w:basedOn w:val="1"/>
    <w:next w:val="11"/>
    <w:qFormat/>
    <w:uiPriority w:val="99"/>
    <w:pPr>
      <w:keepNext/>
      <w:widowControl/>
      <w:numPr>
        <w:ilvl w:val="0"/>
        <w:numId w:val="2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 w:cs="黑体"/>
      <w:kern w:val="0"/>
    </w:rPr>
  </w:style>
  <w:style w:type="paragraph" w:customStyle="1" w:styleId="29">
    <w:name w:val="附录表标号"/>
    <w:basedOn w:val="1"/>
    <w:next w:val="11"/>
    <w:qFormat/>
    <w:uiPriority w:val="99"/>
    <w:pPr>
      <w:numPr>
        <w:ilvl w:val="0"/>
        <w:numId w:val="3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30">
    <w:name w:val="附录表标题"/>
    <w:basedOn w:val="1"/>
    <w:next w:val="11"/>
    <w:qFormat/>
    <w:uiPriority w:val="99"/>
    <w:pPr>
      <w:numPr>
        <w:ilvl w:val="1"/>
        <w:numId w:val="3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 w:cs="黑体"/>
    </w:rPr>
  </w:style>
  <w:style w:type="paragraph" w:customStyle="1" w:styleId="31">
    <w:name w:val="附录二级条标题"/>
    <w:basedOn w:val="1"/>
    <w:next w:val="11"/>
    <w:qFormat/>
    <w:uiPriority w:val="99"/>
    <w:pPr>
      <w:widowControl/>
      <w:numPr>
        <w:ilvl w:val="3"/>
        <w:numId w:val="2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 w:cs="黑体"/>
      <w:kern w:val="21"/>
    </w:rPr>
  </w:style>
  <w:style w:type="paragraph" w:customStyle="1" w:styleId="32">
    <w:name w:val="附录三级条标题"/>
    <w:basedOn w:val="31"/>
    <w:next w:val="11"/>
    <w:qFormat/>
    <w:uiPriority w:val="99"/>
    <w:pPr>
      <w:numPr>
        <w:ilvl w:val="4"/>
      </w:numPr>
      <w:outlineLvl w:val="4"/>
    </w:pPr>
  </w:style>
  <w:style w:type="paragraph" w:customStyle="1" w:styleId="33">
    <w:name w:val="附录四级条标题"/>
    <w:basedOn w:val="32"/>
    <w:next w:val="11"/>
    <w:qFormat/>
    <w:uiPriority w:val="99"/>
    <w:pPr>
      <w:numPr>
        <w:ilvl w:val="5"/>
      </w:numPr>
      <w:outlineLvl w:val="5"/>
    </w:pPr>
  </w:style>
  <w:style w:type="paragraph" w:customStyle="1" w:styleId="34">
    <w:name w:val="附录图标号"/>
    <w:basedOn w:val="1"/>
    <w:qFormat/>
    <w:uiPriority w:val="99"/>
    <w:pPr>
      <w:keepNext/>
      <w:pageBreakBefore/>
      <w:widowControl/>
      <w:numPr>
        <w:ilvl w:val="0"/>
        <w:numId w:val="4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35">
    <w:name w:val="附录图标题"/>
    <w:basedOn w:val="1"/>
    <w:next w:val="11"/>
    <w:qFormat/>
    <w:uiPriority w:val="99"/>
    <w:pPr>
      <w:numPr>
        <w:ilvl w:val="1"/>
        <w:numId w:val="4"/>
      </w:numPr>
      <w:tabs>
        <w:tab w:val="left" w:pos="363"/>
      </w:tabs>
      <w:spacing w:beforeLines="50" w:afterLines="50"/>
      <w:ind w:left="0" w:firstLine="0"/>
      <w:jc w:val="center"/>
    </w:pPr>
    <w:rPr>
      <w:rFonts w:ascii="黑体" w:eastAsia="黑体" w:cs="黑体"/>
    </w:rPr>
  </w:style>
  <w:style w:type="paragraph" w:customStyle="1" w:styleId="36">
    <w:name w:val="附录五级条标题"/>
    <w:basedOn w:val="33"/>
    <w:next w:val="11"/>
    <w:qFormat/>
    <w:uiPriority w:val="99"/>
    <w:pPr>
      <w:numPr>
        <w:ilvl w:val="6"/>
      </w:numPr>
      <w:outlineLvl w:val="6"/>
    </w:pPr>
  </w:style>
  <w:style w:type="paragraph" w:customStyle="1" w:styleId="37">
    <w:name w:val="附录章标题"/>
    <w:next w:val="11"/>
    <w:qFormat/>
    <w:uiPriority w:val="99"/>
    <w:pPr>
      <w:numPr>
        <w:ilvl w:val="1"/>
        <w:numId w:val="2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黑体"/>
      <w:kern w:val="21"/>
      <w:sz w:val="21"/>
      <w:szCs w:val="21"/>
      <w:lang w:val="en-US" w:eastAsia="zh-CN" w:bidi="ar-SA"/>
    </w:rPr>
  </w:style>
  <w:style w:type="paragraph" w:customStyle="1" w:styleId="38">
    <w:name w:val="附录一级条标题"/>
    <w:basedOn w:val="37"/>
    <w:next w:val="11"/>
    <w:qFormat/>
    <w:uiPriority w:val="99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39">
    <w:name w:val="其他发布部门"/>
    <w:basedOn w:val="1"/>
    <w:qFormat/>
    <w:uiPriority w:val="99"/>
    <w:pPr>
      <w:framePr w:w="7938" w:h="1134" w:hRule="exact" w:hSpace="125" w:vSpace="181" w:wrap="around" w:vAnchor="page" w:hAnchor="page" w:x="2150" w:y="15310" w:anchorLock="1"/>
      <w:widowControl/>
      <w:spacing w:line="240" w:lineRule="atLeast"/>
      <w:jc w:val="center"/>
    </w:pPr>
    <w:rPr>
      <w:rFonts w:ascii="黑体" w:eastAsia="黑体" w:cs="黑体"/>
      <w:spacing w:val="20"/>
      <w:w w:val="135"/>
      <w:kern w:val="0"/>
      <w:sz w:val="28"/>
      <w:szCs w:val="28"/>
    </w:rPr>
  </w:style>
  <w:style w:type="paragraph" w:customStyle="1" w:styleId="40">
    <w:name w:val="前言、引言标题"/>
    <w:next w:val="11"/>
    <w:qFormat/>
    <w:uiPriority w:val="99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黑体"/>
      <w:kern w:val="0"/>
      <w:sz w:val="32"/>
      <w:szCs w:val="32"/>
      <w:lang w:val="en-US" w:eastAsia="zh-CN" w:bidi="ar-SA"/>
    </w:rPr>
  </w:style>
  <w:style w:type="paragraph" w:customStyle="1" w:styleId="41">
    <w:name w:val="其他发布日期"/>
    <w:basedOn w:val="1"/>
    <w:qFormat/>
    <w:uiPriority w:val="99"/>
    <w:pPr>
      <w:framePr w:w="3997" w:h="471" w:hRule="exact" w:vSpace="181" w:wrap="around" w:vAnchor="page" w:hAnchor="text" w:x="1419" w:y="14097" w:anchorLock="1"/>
      <w:widowControl/>
      <w:jc w:val="left"/>
    </w:pPr>
    <w:rPr>
      <w:rFonts w:eastAsia="黑体"/>
      <w:kern w:val="0"/>
      <w:sz w:val="28"/>
      <w:szCs w:val="28"/>
    </w:rPr>
  </w:style>
  <w:style w:type="paragraph" w:customStyle="1" w:styleId="42">
    <w:name w:val="其他实施日期"/>
    <w:basedOn w:val="1"/>
    <w:qFormat/>
    <w:uiPriority w:val="99"/>
    <w:pPr>
      <w:framePr w:w="3997" w:h="471" w:hRule="exact" w:vSpace="181" w:wrap="around" w:vAnchor="page" w:hAnchor="text" w:x="7089" w:y="14097" w:anchorLock="1"/>
      <w:widowControl/>
      <w:jc w:val="right"/>
    </w:pPr>
    <w:rPr>
      <w:rFonts w:eastAsia="黑体"/>
      <w:kern w:val="0"/>
      <w:sz w:val="28"/>
      <w:szCs w:val="28"/>
    </w:rPr>
  </w:style>
  <w:style w:type="character" w:customStyle="1" w:styleId="43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44">
    <w:name w:val="页眉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</Pages>
  <Words>3252</Words>
  <Characters>3819</Characters>
  <Lines>40</Lines>
  <Paragraphs>11</Paragraphs>
  <TotalTime>4</TotalTime>
  <ScaleCrop>false</ScaleCrop>
  <LinksUpToDate>false</LinksUpToDate>
  <CharactersWithSpaces>3995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2021-03-24T03:12:00Z</dcterms:created>
  <dc:creator>微软用户</dc:creator>
  <cp:lastModifiedBy>HP</cp:lastModifiedBy>
  <dcterms:modified xsi:type="dcterms:W3CDTF">2023-05-04T09:33:12Z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D88676489F1F422795B57B468CC34259_13</vt:lpwstr>
  </property>
</Properties>
</file>