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3"/>
        <w:rPr>
          <w:rFonts w:ascii="Times New Roman"/>
          <w:sz w:val="5"/>
        </w:rPr>
      </w:pPr>
    </w:p>
    <w:p>
      <w:pPr>
        <w:pStyle w:val="4"/>
        <w:spacing w:before="3"/>
        <w:rPr>
          <w:rFonts w:ascii="Times New Roman"/>
          <w:sz w:val="5"/>
        </w:rPr>
      </w:pPr>
    </w:p>
    <w:p>
      <w:pPr>
        <w:pStyle w:val="4"/>
        <w:ind w:left="5592"/>
        <w:rPr>
          <w:rFonts w:ascii="Times New Roman"/>
          <w:sz w:val="20"/>
        </w:rPr>
      </w:pPr>
    </w:p>
    <w:p>
      <w:pPr>
        <w:pStyle w:val="4"/>
        <w:rPr>
          <w:rFonts w:ascii="Times New Roman"/>
          <w:sz w:val="20"/>
        </w:rPr>
      </w:pPr>
    </w:p>
    <w:p>
      <w:pPr>
        <w:pStyle w:val="4"/>
        <w:spacing w:before="9"/>
        <w:rPr>
          <w:rFonts w:ascii="Times New Roman"/>
          <w:sz w:val="16"/>
        </w:rPr>
      </w:pPr>
    </w:p>
    <w:p>
      <w:pPr>
        <w:spacing w:before="32"/>
        <w:ind w:left="3" w:right="0" w:firstLine="0"/>
        <w:jc w:val="center"/>
        <w:rPr>
          <w:rFonts w:hint="eastAsia" w:ascii="黑体" w:eastAsia="黑体"/>
          <w:sz w:val="48"/>
        </w:rPr>
      </w:pPr>
      <w:r>
        <w:rPr>
          <w:rFonts w:hint="eastAsia" w:ascii="黑体" w:eastAsia="黑体"/>
          <w:spacing w:val="55"/>
          <w:sz w:val="48"/>
        </w:rPr>
        <w:t xml:space="preserve">四 川 省 </w:t>
      </w:r>
      <w:r>
        <w:rPr>
          <w:rFonts w:hint="eastAsia" w:ascii="黑体" w:eastAsia="黑体"/>
          <w:sz w:val="48"/>
        </w:rPr>
        <w:t>（</w:t>
      </w:r>
      <w:r>
        <w:rPr>
          <w:rFonts w:hint="eastAsia" w:ascii="黑体" w:eastAsia="黑体"/>
          <w:spacing w:val="63"/>
          <w:sz w:val="48"/>
        </w:rPr>
        <w:t xml:space="preserve"> </w:t>
      </w:r>
      <w:r>
        <w:rPr>
          <w:rFonts w:hint="eastAsia" w:ascii="黑体" w:eastAsia="黑体"/>
          <w:spacing w:val="63"/>
          <w:sz w:val="48"/>
          <w:lang w:eastAsia="zh-CN"/>
        </w:rPr>
        <w:t>广</w:t>
      </w:r>
      <w:r>
        <w:rPr>
          <w:rFonts w:hint="eastAsia" w:ascii="黑体" w:eastAsia="黑体"/>
          <w:spacing w:val="63"/>
          <w:sz w:val="48"/>
        </w:rPr>
        <w:t xml:space="preserve"> </w:t>
      </w:r>
      <w:r>
        <w:rPr>
          <w:rFonts w:hint="eastAsia" w:ascii="黑体" w:eastAsia="黑体"/>
          <w:spacing w:val="63"/>
          <w:sz w:val="48"/>
          <w:lang w:eastAsia="zh-CN"/>
        </w:rPr>
        <w:t>元</w:t>
      </w:r>
      <w:r>
        <w:rPr>
          <w:rFonts w:hint="eastAsia" w:ascii="黑体" w:eastAsia="黑体"/>
          <w:spacing w:val="63"/>
          <w:sz w:val="48"/>
        </w:rPr>
        <w:t xml:space="preserve"> 市 </w:t>
      </w:r>
      <w:r>
        <w:rPr>
          <w:rFonts w:hint="eastAsia" w:ascii="黑体" w:eastAsia="黑体"/>
          <w:sz w:val="48"/>
        </w:rPr>
        <w:t>）</w:t>
      </w:r>
      <w:r>
        <w:rPr>
          <w:rFonts w:hint="eastAsia" w:ascii="黑体" w:eastAsia="黑体"/>
          <w:spacing w:val="55"/>
          <w:sz w:val="48"/>
        </w:rPr>
        <w:t xml:space="preserve"> 地 方 标 准</w:t>
      </w:r>
    </w:p>
    <w:p>
      <w:pPr>
        <w:pStyle w:val="3"/>
        <w:spacing w:before="341"/>
        <w:ind w:right="407"/>
        <w:jc w:val="right"/>
      </w:pPr>
      <w:r>
        <w:t>DB 5106 /T</w:t>
      </w:r>
      <w:r>
        <w:rPr>
          <w:spacing w:val="-73"/>
        </w:rPr>
        <w:t xml:space="preserve"> </w:t>
      </w:r>
      <w:r>
        <w:t>XXXX—XXXX</w:t>
      </w:r>
    </w:p>
    <w:p>
      <w:pPr>
        <w:pStyle w:val="4"/>
        <w:rPr>
          <w:rFonts w:ascii="黑体"/>
          <w:sz w:val="20"/>
        </w:rPr>
      </w:pPr>
    </w:p>
    <w:p>
      <w:pPr>
        <w:pStyle w:val="4"/>
        <w:spacing w:before="6"/>
        <w:rPr>
          <w:rFonts w:ascii="黑体"/>
          <w:sz w:val="28"/>
        </w:rPr>
      </w:pPr>
      <w: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260985</wp:posOffset>
                </wp:positionV>
                <wp:extent cx="6119495" cy="0"/>
                <wp:effectExtent l="0" t="0" r="0" b="0"/>
                <wp:wrapTopAndBottom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70.9pt;margin-top:20.55pt;height:0pt;width:481.85pt;mso-position-horizontal-relative:page;mso-wrap-distance-bottom:0pt;mso-wrap-distance-top:0pt;z-index:-251654144;mso-width-relative:page;mso-height-relative:page;" filled="f" stroked="t" coordsize="21600,21600" o:gfxdata="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+xHFw1gAA&#10;AAoBAAAPAAAAAAAAAAEAIAAAACIAAABkcnMvZG93bnJldi54bWxQSwECFAAUAAAACACHTuJAswO4&#10;iucBAADbAwAADgAAAAAAAAABACAAAAAl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pStyle w:val="4"/>
        <w:rPr>
          <w:rFonts w:ascii="黑体"/>
          <w:sz w:val="28"/>
        </w:rPr>
      </w:pPr>
    </w:p>
    <w:p>
      <w:pPr>
        <w:pStyle w:val="4"/>
        <w:rPr>
          <w:rFonts w:ascii="黑体"/>
          <w:sz w:val="28"/>
        </w:rPr>
      </w:pPr>
    </w:p>
    <w:p>
      <w:pPr>
        <w:pStyle w:val="4"/>
        <w:rPr>
          <w:rFonts w:ascii="黑体"/>
          <w:sz w:val="28"/>
        </w:rPr>
      </w:pPr>
    </w:p>
    <w:p>
      <w:pPr>
        <w:pStyle w:val="4"/>
        <w:rPr>
          <w:rFonts w:ascii="黑体"/>
          <w:sz w:val="28"/>
        </w:rPr>
      </w:pPr>
    </w:p>
    <w:p>
      <w:pPr>
        <w:pStyle w:val="4"/>
        <w:rPr>
          <w:rFonts w:ascii="黑体"/>
          <w:sz w:val="28"/>
        </w:rPr>
      </w:pPr>
    </w:p>
    <w:p>
      <w:pPr>
        <w:pStyle w:val="4"/>
        <w:spacing w:before="5"/>
        <w:rPr>
          <w:rFonts w:ascii="黑体"/>
          <w:sz w:val="28"/>
        </w:rPr>
      </w:pPr>
    </w:p>
    <w:p>
      <w:pPr>
        <w:spacing w:before="0"/>
        <w:ind w:left="232" w:right="0" w:firstLine="0"/>
        <w:jc w:val="center"/>
        <w:rPr>
          <w:rFonts w:hint="eastAsia" w:ascii="黑体" w:eastAsia="黑体"/>
          <w:sz w:val="52"/>
        </w:rPr>
      </w:pPr>
      <w:r>
        <w:rPr>
          <w:rFonts w:hint="eastAsia" w:ascii="黑体" w:eastAsia="黑体"/>
          <w:sz w:val="52"/>
        </w:rPr>
        <w:t>企业开办"零成本 小时办"工作规范</w:t>
      </w:r>
    </w:p>
    <w:p>
      <w:pPr>
        <w:pStyle w:val="4"/>
        <w:rPr>
          <w:rFonts w:ascii="黑体"/>
          <w:sz w:val="52"/>
        </w:rPr>
      </w:pPr>
    </w:p>
    <w:p>
      <w:pPr>
        <w:pStyle w:val="4"/>
        <w:rPr>
          <w:rFonts w:ascii="黑体"/>
          <w:sz w:val="52"/>
        </w:rPr>
      </w:pPr>
    </w:p>
    <w:p>
      <w:pPr>
        <w:pStyle w:val="4"/>
        <w:rPr>
          <w:rFonts w:ascii="黑体"/>
          <w:sz w:val="52"/>
        </w:rPr>
      </w:pPr>
    </w:p>
    <w:p>
      <w:pPr>
        <w:pStyle w:val="4"/>
        <w:rPr>
          <w:sz w:val="24"/>
        </w:rPr>
      </w:pPr>
    </w:p>
    <w:p>
      <w:pPr>
        <w:pStyle w:val="4"/>
        <w:rPr>
          <w:sz w:val="24"/>
        </w:rPr>
      </w:pPr>
    </w:p>
    <w:p>
      <w:pPr>
        <w:pStyle w:val="4"/>
        <w:spacing w:before="10"/>
        <w:rPr>
          <w:sz w:val="17"/>
        </w:rPr>
      </w:pPr>
    </w:p>
    <w:p>
      <w:pPr>
        <w:pStyle w:val="4"/>
        <w:rPr>
          <w:b/>
          <w:sz w:val="20"/>
        </w:rPr>
      </w:pPr>
    </w:p>
    <w:p>
      <w:pPr>
        <w:pStyle w:val="4"/>
        <w:rPr>
          <w:b/>
          <w:sz w:val="20"/>
        </w:rPr>
      </w:pPr>
    </w:p>
    <w:p>
      <w:pPr>
        <w:pStyle w:val="4"/>
        <w:rPr>
          <w:b/>
          <w:sz w:val="20"/>
        </w:rPr>
      </w:pPr>
    </w:p>
    <w:p>
      <w:pPr>
        <w:pStyle w:val="4"/>
        <w:rPr>
          <w:b/>
          <w:sz w:val="20"/>
        </w:rPr>
      </w:pPr>
    </w:p>
    <w:p>
      <w:pPr>
        <w:pStyle w:val="4"/>
        <w:rPr>
          <w:b/>
          <w:sz w:val="20"/>
        </w:rPr>
      </w:pPr>
    </w:p>
    <w:p>
      <w:pPr>
        <w:pStyle w:val="4"/>
        <w:rPr>
          <w:b/>
          <w:sz w:val="20"/>
        </w:rPr>
      </w:pPr>
    </w:p>
    <w:p>
      <w:pPr>
        <w:pStyle w:val="4"/>
        <w:rPr>
          <w:b/>
          <w:sz w:val="20"/>
        </w:rPr>
      </w:pPr>
    </w:p>
    <w:p>
      <w:pPr>
        <w:pStyle w:val="4"/>
        <w:rPr>
          <w:b/>
          <w:sz w:val="20"/>
        </w:rPr>
      </w:pPr>
    </w:p>
    <w:p>
      <w:pPr>
        <w:pStyle w:val="4"/>
        <w:rPr>
          <w:b/>
          <w:sz w:val="20"/>
        </w:rPr>
      </w:pPr>
    </w:p>
    <w:p>
      <w:pPr>
        <w:pStyle w:val="3"/>
        <w:tabs>
          <w:tab w:val="left" w:pos="7612"/>
        </w:tabs>
        <w:spacing w:before="157"/>
        <w:ind w:left="257"/>
      </w:pPr>
      <w: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348615</wp:posOffset>
                </wp:positionV>
                <wp:extent cx="6119495" cy="0"/>
                <wp:effectExtent l="0" t="0" r="0" b="0"/>
                <wp:wrapTopAndBottom/>
                <wp:docPr id="4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70.8pt;margin-top:27.45pt;height:0pt;width:481.85pt;mso-position-horizontal-relative:page;mso-wrap-distance-bottom:0pt;mso-wrap-distance-top:0pt;z-index:-251653120;mso-width-relative:page;mso-height-relative:page;" filled="f" stroked="t" coordsize="21600,21600" o:gfxdata="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7dvlbX&#10;AAAACgEAAA8AAAAAAAAAAQAgAAAAIgAAAGRycy9kb3ducmV2LnhtbFBLAQIUABQAAAAIAIdO4kC+&#10;FVFR6AEAANsDAAAOAAAAAAAAAAEAIAAAACY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t>XXXX</w:t>
      </w:r>
      <w:r>
        <w:rPr>
          <w:spacing w:val="-70"/>
        </w:rPr>
        <w:t xml:space="preserve"> </w:t>
      </w:r>
      <w:r>
        <w:t>-</w:t>
      </w:r>
      <w:r>
        <w:rPr>
          <w:spacing w:val="-72"/>
        </w:rPr>
        <w:t xml:space="preserve"> </w:t>
      </w:r>
      <w:r>
        <w:t>XX</w:t>
      </w:r>
      <w:r>
        <w:rPr>
          <w:spacing w:val="-72"/>
        </w:rPr>
        <w:t xml:space="preserve"> </w:t>
      </w:r>
      <w:r>
        <w:t>-</w:t>
      </w:r>
      <w:r>
        <w:rPr>
          <w:spacing w:val="-70"/>
        </w:rPr>
        <w:t xml:space="preserve"> </w:t>
      </w:r>
      <w:r>
        <w:t>XX</w:t>
      </w:r>
      <w:r>
        <w:rPr>
          <w:spacing w:val="-72"/>
        </w:rPr>
        <w:t xml:space="preserve"> </w:t>
      </w:r>
      <w:r>
        <w:t>发布</w:t>
      </w:r>
      <w:r>
        <w:tab/>
      </w:r>
      <w:r>
        <w:t>XXXX</w:t>
      </w:r>
      <w:r>
        <w:rPr>
          <w:spacing w:val="-69"/>
        </w:rPr>
        <w:t xml:space="preserve"> </w:t>
      </w:r>
      <w:r>
        <w:t>-</w:t>
      </w:r>
      <w:r>
        <w:rPr>
          <w:spacing w:val="-72"/>
        </w:rPr>
        <w:t xml:space="preserve"> </w:t>
      </w:r>
      <w:r>
        <w:t>XX</w:t>
      </w:r>
      <w:r>
        <w:rPr>
          <w:spacing w:val="-72"/>
        </w:rPr>
        <w:t xml:space="preserve"> </w:t>
      </w:r>
      <w:r>
        <w:t>-</w:t>
      </w:r>
      <w:r>
        <w:rPr>
          <w:spacing w:val="-70"/>
        </w:rPr>
        <w:t xml:space="preserve"> </w:t>
      </w:r>
      <w:r>
        <w:t>XX</w:t>
      </w:r>
      <w:r>
        <w:rPr>
          <w:spacing w:val="-72"/>
        </w:rPr>
        <w:t xml:space="preserve"> </w:t>
      </w:r>
      <w:r>
        <w:t>实施</w:t>
      </w:r>
    </w:p>
    <w:p>
      <w:pPr>
        <w:pStyle w:val="4"/>
        <w:rPr>
          <w:rFonts w:ascii="黑体"/>
          <w:sz w:val="28"/>
        </w:rPr>
      </w:pPr>
    </w:p>
    <w:p>
      <w:pPr>
        <w:pStyle w:val="4"/>
        <w:spacing w:before="7"/>
        <w:rPr>
          <w:rFonts w:ascii="黑体"/>
          <w:sz w:val="31"/>
        </w:rPr>
      </w:pPr>
    </w:p>
    <w:p>
      <w:pPr>
        <w:tabs>
          <w:tab w:val="left" w:pos="3360"/>
        </w:tabs>
        <w:spacing w:before="0"/>
        <w:ind w:left="0" w:right="54" w:firstLine="0"/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  <w:lang w:eastAsia="zh-CN"/>
        </w:rPr>
        <w:t>广元</w:t>
      </w:r>
      <w:r>
        <w:rPr>
          <w:rFonts w:hint="eastAsia" w:ascii="黑体" w:eastAsia="黑体"/>
          <w:sz w:val="28"/>
        </w:rPr>
        <w:t>市</w:t>
      </w:r>
      <w:r>
        <w:rPr>
          <w:rFonts w:hint="eastAsia" w:ascii="黑体" w:eastAsia="黑体"/>
          <w:spacing w:val="-3"/>
          <w:sz w:val="28"/>
        </w:rPr>
        <w:t>市</w:t>
      </w:r>
      <w:r>
        <w:rPr>
          <w:rFonts w:hint="eastAsia" w:ascii="黑体" w:eastAsia="黑体"/>
          <w:sz w:val="28"/>
        </w:rPr>
        <w:t>场监</w:t>
      </w:r>
      <w:r>
        <w:rPr>
          <w:rFonts w:hint="eastAsia" w:ascii="黑体" w:eastAsia="黑体"/>
          <w:spacing w:val="-3"/>
          <w:sz w:val="28"/>
        </w:rPr>
        <w:t>督管</w:t>
      </w:r>
      <w:r>
        <w:rPr>
          <w:rFonts w:hint="eastAsia" w:ascii="黑体" w:eastAsia="黑体"/>
          <w:sz w:val="28"/>
        </w:rPr>
        <w:t>理局</w:t>
      </w:r>
      <w:r>
        <w:rPr>
          <w:rFonts w:hint="eastAsia" w:ascii="黑体" w:eastAsia="黑体"/>
          <w:sz w:val="28"/>
        </w:rPr>
        <w:tab/>
      </w:r>
      <w:r>
        <w:rPr>
          <w:rFonts w:hint="eastAsia" w:ascii="黑体" w:eastAsia="黑体"/>
          <w:sz w:val="28"/>
        </w:rPr>
        <w:t>发</w:t>
      </w:r>
      <w:r>
        <w:rPr>
          <w:rFonts w:hint="eastAsia" w:ascii="黑体" w:eastAsia="黑体"/>
          <w:spacing w:val="28"/>
          <w:sz w:val="28"/>
        </w:rPr>
        <w:t xml:space="preserve"> </w:t>
      </w:r>
      <w:r>
        <w:rPr>
          <w:rFonts w:hint="eastAsia" w:ascii="黑体" w:eastAsia="黑体"/>
          <w:sz w:val="28"/>
        </w:rPr>
        <w:t>布</w:t>
      </w: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spacing w:before="5"/>
        <w:rPr>
          <w:rFonts w:ascii="黑体"/>
          <w:sz w:val="15"/>
        </w:rPr>
      </w:pPr>
    </w:p>
    <w:p>
      <w:pPr>
        <w:pStyle w:val="4"/>
        <w:rPr>
          <w:rFonts w:ascii="黑体"/>
          <w:sz w:val="2"/>
        </w:rPr>
      </w:pPr>
    </w:p>
    <w:p>
      <w:pPr>
        <w:pStyle w:val="4"/>
        <w:rPr>
          <w:rFonts w:ascii="黑体"/>
          <w:sz w:val="2"/>
        </w:rPr>
      </w:pPr>
    </w:p>
    <w:p>
      <w:pPr>
        <w:pStyle w:val="4"/>
        <w:rPr>
          <w:rFonts w:ascii="黑体"/>
          <w:sz w:val="2"/>
        </w:rPr>
      </w:pPr>
    </w:p>
    <w:p>
      <w:pPr>
        <w:pStyle w:val="4"/>
        <w:rPr>
          <w:rFonts w:ascii="黑体"/>
          <w:sz w:val="2"/>
        </w:rPr>
      </w:pPr>
    </w:p>
    <w:p>
      <w:pPr>
        <w:pStyle w:val="4"/>
        <w:spacing w:before="7"/>
        <w:rPr>
          <w:sz w:val="20"/>
        </w:rPr>
      </w:pPr>
    </w:p>
    <w:p>
      <w:pPr>
        <w:pStyle w:val="2"/>
        <w:tabs>
          <w:tab w:val="left" w:pos="960"/>
        </w:tabs>
        <w:ind w:right="52"/>
      </w:pPr>
      <w:r>
        <w:t>目</w:t>
      </w:r>
      <w:r>
        <w:tab/>
      </w:r>
      <w:r>
        <w:t>次</w:t>
      </w:r>
    </w:p>
    <w:p>
      <w:pPr>
        <w:pStyle w:val="4"/>
        <w:rPr>
          <w:rFonts w:ascii="黑体"/>
          <w:sz w:val="32"/>
        </w:rPr>
      </w:pPr>
    </w:p>
    <w:p>
      <w:pPr>
        <w:pStyle w:val="4"/>
        <w:tabs>
          <w:tab w:val="left" w:leader="dot" w:pos="9396"/>
        </w:tabs>
        <w:spacing w:before="277"/>
        <w:ind w:left="358"/>
      </w:pPr>
      <w:r>
        <w:fldChar w:fldCharType="begin"/>
      </w:r>
      <w:r>
        <w:instrText xml:space="preserve"> HYPERLINK \l "_bookmark0" </w:instrText>
      </w:r>
      <w:r>
        <w:fldChar w:fldCharType="separate"/>
      </w:r>
      <w:r>
        <w:t>前言</w:t>
      </w:r>
      <w:r>
        <w:tab/>
      </w:r>
      <w:r>
        <w:t>II</w:t>
      </w:r>
      <w:r>
        <w:fldChar w:fldCharType="end"/>
      </w:r>
    </w:p>
    <w:p>
      <w:pPr>
        <w:pStyle w:val="4"/>
        <w:tabs>
          <w:tab w:val="left" w:leader="dot" w:pos="9501"/>
        </w:tabs>
        <w:spacing w:before="129"/>
        <w:ind w:left="358"/>
      </w:pPr>
      <w:r>
        <w:fldChar w:fldCharType="begin"/>
      </w:r>
      <w:r>
        <w:instrText xml:space="preserve"> HYPERLINK \l "_bookmark1" </w:instrText>
      </w:r>
      <w:r>
        <w:fldChar w:fldCharType="separate"/>
      </w:r>
      <w:r>
        <w:t xml:space="preserve">1 </w:t>
      </w:r>
      <w:r>
        <w:rPr>
          <w:spacing w:val="2"/>
        </w:rPr>
        <w:t xml:space="preserve"> </w:t>
      </w:r>
      <w:r>
        <w:rPr>
          <w:spacing w:val="-3"/>
        </w:rPr>
        <w:t>范围</w:t>
      </w:r>
      <w:r>
        <w:rPr>
          <w:spacing w:val="-3"/>
        </w:rPr>
        <w:tab/>
      </w:r>
      <w:r>
        <w:t>1</w:t>
      </w:r>
      <w:r>
        <w:fldChar w:fldCharType="end"/>
      </w:r>
    </w:p>
    <w:p>
      <w:pPr>
        <w:pStyle w:val="4"/>
        <w:tabs>
          <w:tab w:val="left" w:leader="dot" w:pos="9501"/>
        </w:tabs>
        <w:spacing w:before="132"/>
        <w:ind w:left="358"/>
      </w:pPr>
      <w:r>
        <w:fldChar w:fldCharType="begin"/>
      </w:r>
      <w:r>
        <w:instrText xml:space="preserve"> HYPERLINK \l "_bookmark2" </w:instrText>
      </w:r>
      <w:r>
        <w:fldChar w:fldCharType="separate"/>
      </w:r>
      <w:r>
        <w:t xml:space="preserve">2 </w:t>
      </w:r>
      <w:r>
        <w:rPr>
          <w:spacing w:val="6"/>
        </w:rPr>
        <w:t xml:space="preserve"> </w:t>
      </w:r>
      <w:r>
        <w:rPr>
          <w:spacing w:val="-3"/>
        </w:rPr>
        <w:t>规</w:t>
      </w:r>
      <w:r>
        <w:t>范</w:t>
      </w:r>
      <w:r>
        <w:rPr>
          <w:spacing w:val="-3"/>
        </w:rPr>
        <w:t>性</w:t>
      </w:r>
      <w:r>
        <w:t>引</w:t>
      </w:r>
      <w:r>
        <w:rPr>
          <w:spacing w:val="-3"/>
        </w:rPr>
        <w:t>用</w:t>
      </w:r>
      <w:r>
        <w:t>文件</w:t>
      </w:r>
      <w:r>
        <w:tab/>
      </w:r>
      <w:r>
        <w:t>1</w:t>
      </w:r>
      <w:r>
        <w:fldChar w:fldCharType="end"/>
      </w:r>
    </w:p>
    <w:p>
      <w:pPr>
        <w:pStyle w:val="4"/>
        <w:tabs>
          <w:tab w:val="left" w:leader="dot" w:pos="9501"/>
        </w:tabs>
        <w:spacing w:before="132"/>
        <w:ind w:left="358"/>
      </w:pPr>
      <w:r>
        <w:fldChar w:fldCharType="begin"/>
      </w:r>
      <w:r>
        <w:instrText xml:space="preserve"> HYPERLINK \l "_bookmark3" </w:instrText>
      </w:r>
      <w:r>
        <w:fldChar w:fldCharType="separate"/>
      </w:r>
      <w:r>
        <w:t xml:space="preserve">3 </w:t>
      </w:r>
      <w:r>
        <w:rPr>
          <w:spacing w:val="5"/>
        </w:rPr>
        <w:t xml:space="preserve"> </w:t>
      </w:r>
      <w:r>
        <w:rPr>
          <w:spacing w:val="-3"/>
        </w:rPr>
        <w:t>术</w:t>
      </w:r>
      <w:r>
        <w:t>语</w:t>
      </w:r>
      <w:r>
        <w:rPr>
          <w:spacing w:val="-3"/>
        </w:rPr>
        <w:t>和</w:t>
      </w:r>
      <w:r>
        <w:t>定义</w:t>
      </w:r>
      <w:r>
        <w:tab/>
      </w:r>
      <w:r>
        <w:t>1</w:t>
      </w:r>
      <w:r>
        <w:fldChar w:fldCharType="end"/>
      </w:r>
    </w:p>
    <w:p>
      <w:pPr>
        <w:pStyle w:val="4"/>
        <w:tabs>
          <w:tab w:val="left" w:leader="dot" w:pos="9501"/>
        </w:tabs>
        <w:spacing w:before="129"/>
        <w:ind w:left="358"/>
      </w:pPr>
      <w:r>
        <w:fldChar w:fldCharType="begin"/>
      </w:r>
      <w:r>
        <w:instrText xml:space="preserve"> HYPERLINK \l "_bookmark4" </w:instrText>
      </w:r>
      <w:r>
        <w:fldChar w:fldCharType="separate"/>
      </w:r>
      <w:r>
        <w:t xml:space="preserve">4 </w:t>
      </w:r>
      <w:r>
        <w:rPr>
          <w:spacing w:val="2"/>
        </w:rPr>
        <w:t xml:space="preserve"> </w:t>
      </w:r>
      <w:r>
        <w:rPr>
          <w:spacing w:val="-3"/>
        </w:rPr>
        <w:t>流程</w:t>
      </w:r>
      <w:r>
        <w:rPr>
          <w:spacing w:val="-3"/>
        </w:rPr>
        <w:tab/>
      </w:r>
      <w:r>
        <w:t>2</w:t>
      </w:r>
      <w:r>
        <w:fldChar w:fldCharType="end"/>
      </w:r>
    </w:p>
    <w:p>
      <w:pPr>
        <w:pStyle w:val="4"/>
        <w:tabs>
          <w:tab w:val="left" w:leader="dot" w:pos="9501"/>
        </w:tabs>
        <w:spacing w:before="132"/>
        <w:ind w:left="358"/>
      </w:pPr>
      <w:r>
        <w:fldChar w:fldCharType="begin"/>
      </w:r>
      <w:r>
        <w:instrText xml:space="preserve"> HYPERLINK \l "_bookmark5" </w:instrText>
      </w:r>
      <w:r>
        <w:fldChar w:fldCharType="separate"/>
      </w:r>
      <w:r>
        <w:t xml:space="preserve">5 </w:t>
      </w:r>
      <w:r>
        <w:rPr>
          <w:spacing w:val="2"/>
        </w:rPr>
        <w:t xml:space="preserve"> </w:t>
      </w:r>
      <w:r>
        <w:rPr>
          <w:spacing w:val="-3"/>
        </w:rPr>
        <w:t>服务</w:t>
      </w:r>
      <w:r>
        <w:rPr>
          <w:spacing w:val="-3"/>
        </w:rPr>
        <w:tab/>
      </w:r>
      <w:r>
        <w:t>3</w:t>
      </w:r>
      <w:r>
        <w:fldChar w:fldCharType="end"/>
      </w:r>
    </w:p>
    <w:p>
      <w:pPr>
        <w:pStyle w:val="4"/>
        <w:tabs>
          <w:tab w:val="left" w:leader="dot" w:pos="9501"/>
        </w:tabs>
        <w:spacing w:before="132"/>
        <w:ind w:left="358"/>
      </w:pPr>
      <w:r>
        <w:fldChar w:fldCharType="begin"/>
      </w:r>
      <w:r>
        <w:instrText xml:space="preserve"> HYPERLINK \l "_bookmark6" </w:instrText>
      </w:r>
      <w:r>
        <w:fldChar w:fldCharType="separate"/>
      </w:r>
      <w:r>
        <w:t xml:space="preserve">6 </w:t>
      </w:r>
      <w:r>
        <w:rPr>
          <w:spacing w:val="2"/>
        </w:rPr>
        <w:t xml:space="preserve"> </w:t>
      </w:r>
      <w:r>
        <w:rPr>
          <w:spacing w:val="-3"/>
        </w:rPr>
        <w:t>场所</w:t>
      </w:r>
      <w:r>
        <w:rPr>
          <w:spacing w:val="-3"/>
        </w:rPr>
        <w:tab/>
      </w:r>
      <w:r>
        <w:t>4</w:t>
      </w:r>
      <w:r>
        <w:fldChar w:fldCharType="end"/>
      </w:r>
    </w:p>
    <w:p>
      <w:pPr>
        <w:pStyle w:val="4"/>
        <w:tabs>
          <w:tab w:val="left" w:leader="dot" w:pos="9501"/>
        </w:tabs>
        <w:spacing w:before="129"/>
        <w:ind w:left="358"/>
      </w:pPr>
      <w:r>
        <w:fldChar w:fldCharType="begin"/>
      </w:r>
      <w:r>
        <w:instrText xml:space="preserve"> HYPERLINK \l "_bookmark7" </w:instrText>
      </w:r>
      <w:r>
        <w:fldChar w:fldCharType="separate"/>
      </w:r>
      <w:r>
        <w:t xml:space="preserve">7 </w:t>
      </w:r>
      <w:r>
        <w:rPr>
          <w:spacing w:val="5"/>
        </w:rPr>
        <w:t xml:space="preserve"> </w:t>
      </w:r>
      <w:r>
        <w:rPr>
          <w:spacing w:val="-3"/>
        </w:rPr>
        <w:t>监</w:t>
      </w:r>
      <w:r>
        <w:t>督</w:t>
      </w:r>
      <w:r>
        <w:rPr>
          <w:spacing w:val="-3"/>
        </w:rPr>
        <w:t>和</w:t>
      </w:r>
      <w:r>
        <w:t>评价</w:t>
      </w:r>
      <w:r>
        <w:tab/>
      </w:r>
      <w:r>
        <w:t>4</w:t>
      </w:r>
      <w:r>
        <w:fldChar w:fldCharType="end"/>
      </w:r>
    </w:p>
    <w:p>
      <w:pPr>
        <w:pStyle w:val="4"/>
        <w:tabs>
          <w:tab w:val="left" w:leader="dot" w:pos="9501"/>
        </w:tabs>
        <w:spacing w:before="132"/>
        <w:ind w:left="358"/>
      </w:pPr>
      <w:r>
        <w:fldChar w:fldCharType="begin"/>
      </w:r>
      <w:r>
        <w:instrText xml:space="preserve"> HYPERLINK \l "_bookmark8" </w:instrText>
      </w:r>
      <w:r>
        <w:fldChar w:fldCharType="separate"/>
      </w:r>
      <w:r>
        <w:t>参考</w:t>
      </w:r>
      <w:r>
        <w:rPr>
          <w:spacing w:val="-3"/>
        </w:rPr>
        <w:t>文</w:t>
      </w:r>
      <w:r>
        <w:t>献</w:t>
      </w:r>
      <w:r>
        <w:tab/>
      </w:r>
      <w:r>
        <w:t>6</w:t>
      </w:r>
      <w:r>
        <w:fldChar w:fldCharType="end"/>
      </w:r>
    </w:p>
    <w:p>
      <w:pPr>
        <w:spacing w:after="0"/>
        <w:sectPr>
          <w:headerReference r:id="rId5" w:type="default"/>
          <w:footerReference r:id="rId6" w:type="default"/>
          <w:pgSz w:w="11910" w:h="16840"/>
          <w:pgMar w:top="1640" w:right="720" w:bottom="1340" w:left="1060" w:header="1448" w:footer="1141" w:gutter="0"/>
          <w:cols w:space="720" w:num="1"/>
        </w:sectPr>
      </w:pPr>
    </w:p>
    <w:p>
      <w:pPr>
        <w:pStyle w:val="4"/>
        <w:spacing w:before="7"/>
        <w:rPr>
          <w:sz w:val="20"/>
        </w:rPr>
      </w:pPr>
    </w:p>
    <w:p>
      <w:pPr>
        <w:pStyle w:val="2"/>
        <w:tabs>
          <w:tab w:val="left" w:pos="1323"/>
        </w:tabs>
        <w:ind w:left="363"/>
      </w:pPr>
      <w:bookmarkStart w:id="0" w:name="_bookmark0"/>
      <w:bookmarkEnd w:id="0"/>
      <w:r>
        <w:t>前</w:t>
      </w:r>
      <w:r>
        <w:tab/>
      </w:r>
      <w:r>
        <w:t>言</w:t>
      </w:r>
    </w:p>
    <w:p>
      <w:pPr>
        <w:pStyle w:val="4"/>
        <w:spacing w:before="11"/>
        <w:rPr>
          <w:rFonts w:ascii="黑体"/>
          <w:sz w:val="46"/>
        </w:rPr>
      </w:pPr>
    </w:p>
    <w:p>
      <w:pPr>
        <w:pStyle w:val="4"/>
        <w:spacing w:line="278" w:lineRule="auto"/>
        <w:ind w:left="358" w:right="406" w:firstLine="420"/>
      </w:pPr>
      <w:r>
        <w:t>本</w:t>
      </w:r>
      <w:r>
        <w:rPr>
          <w:rFonts w:hint="eastAsia"/>
          <w:lang w:eastAsia="zh-CN"/>
        </w:rPr>
        <w:t>规范</w:t>
      </w:r>
      <w:r>
        <w:t xml:space="preserve">按照GB/T 1.1—2020《标准化工作导则 第1部分：标准化文件的结构和起草规则》的规定起草。 </w:t>
      </w:r>
    </w:p>
    <w:p>
      <w:pPr>
        <w:pStyle w:val="4"/>
        <w:spacing w:line="278" w:lineRule="auto"/>
        <w:ind w:left="358" w:right="406" w:firstLine="420"/>
        <w:rPr>
          <w:spacing w:val="-3"/>
        </w:rPr>
      </w:pPr>
      <w:r>
        <w:rPr>
          <w:spacing w:val="-3"/>
        </w:rPr>
        <w:t>请注意本</w:t>
      </w:r>
      <w:r>
        <w:rPr>
          <w:rFonts w:hint="eastAsia"/>
          <w:lang w:eastAsia="zh-CN"/>
        </w:rPr>
        <w:t>规范</w:t>
      </w:r>
      <w:r>
        <w:rPr>
          <w:spacing w:val="-3"/>
        </w:rPr>
        <w:t>的某些内容可能涉及专利。本文件的发布机构不承担识别专利的责任。</w:t>
      </w:r>
    </w:p>
    <w:p>
      <w:pPr>
        <w:pStyle w:val="4"/>
        <w:spacing w:line="278" w:lineRule="auto"/>
        <w:ind w:left="358" w:right="406" w:firstLine="420"/>
      </w:pPr>
      <w:r>
        <w:rPr>
          <w:spacing w:val="-3"/>
        </w:rPr>
        <w:t>本</w:t>
      </w:r>
      <w:r>
        <w:rPr>
          <w:rFonts w:hint="eastAsia"/>
          <w:lang w:eastAsia="zh-CN"/>
        </w:rPr>
        <w:t>规范</w:t>
      </w:r>
      <w:r>
        <w:rPr>
          <w:spacing w:val="-3"/>
        </w:rPr>
        <w:t>由</w:t>
      </w:r>
      <w:r>
        <w:rPr>
          <w:rFonts w:hint="eastAsia"/>
          <w:spacing w:val="-3"/>
          <w:lang w:eastAsia="zh-CN"/>
        </w:rPr>
        <w:t>广元</w:t>
      </w:r>
      <w:r>
        <w:rPr>
          <w:spacing w:val="-3"/>
        </w:rPr>
        <w:t>市市场监督管理局提出并归口。</w:t>
      </w:r>
      <w:r>
        <w:t xml:space="preserve"> </w:t>
      </w:r>
    </w:p>
    <w:p>
      <w:pPr>
        <w:pStyle w:val="4"/>
        <w:spacing w:line="278" w:lineRule="auto"/>
        <w:ind w:left="358" w:right="406" w:firstLine="420"/>
        <w:rPr>
          <w:spacing w:val="-3"/>
        </w:rPr>
      </w:pPr>
      <w:r>
        <w:rPr>
          <w:spacing w:val="-3"/>
        </w:rPr>
        <w:t>本</w:t>
      </w:r>
      <w:r>
        <w:rPr>
          <w:rFonts w:hint="eastAsia"/>
          <w:lang w:eastAsia="zh-CN"/>
        </w:rPr>
        <w:t>规范</w:t>
      </w:r>
      <w:r>
        <w:rPr>
          <w:spacing w:val="-3"/>
        </w:rPr>
        <w:t>起草单位：</w:t>
      </w:r>
      <w:r>
        <w:rPr>
          <w:rFonts w:hint="eastAsia"/>
          <w:spacing w:val="-3"/>
          <w:lang w:eastAsia="zh-CN"/>
        </w:rPr>
        <w:t>广元</w:t>
      </w:r>
      <w:r>
        <w:rPr>
          <w:spacing w:val="-3"/>
        </w:rPr>
        <w:t>市市场</w:t>
      </w:r>
      <w:r>
        <w:rPr>
          <w:rFonts w:hint="eastAsia"/>
          <w:spacing w:val="-3"/>
          <w:lang w:eastAsia="zh-CN"/>
        </w:rPr>
        <w:t>监督管理局</w:t>
      </w:r>
      <w:r>
        <w:rPr>
          <w:spacing w:val="-3"/>
        </w:rPr>
        <w:t>。</w:t>
      </w:r>
    </w:p>
    <w:p>
      <w:pPr>
        <w:pStyle w:val="4"/>
        <w:spacing w:line="278" w:lineRule="auto"/>
        <w:ind w:left="778" w:right="5248"/>
        <w:rPr>
          <w:spacing w:val="-3"/>
        </w:rPr>
      </w:pPr>
      <w:r>
        <w:rPr>
          <w:spacing w:val="-3"/>
        </w:rPr>
        <w:t>本</w:t>
      </w:r>
      <w:r>
        <w:rPr>
          <w:rFonts w:hint="eastAsia"/>
          <w:lang w:eastAsia="zh-CN"/>
        </w:rPr>
        <w:t>规范</w:t>
      </w:r>
      <w:r>
        <w:rPr>
          <w:spacing w:val="-3"/>
        </w:rPr>
        <w:t>主要起草人：</w:t>
      </w:r>
      <w:r>
        <w:rPr>
          <w:rFonts w:hint="eastAsia"/>
          <w:spacing w:val="-3"/>
          <w:lang w:val="en-US" w:eastAsia="zh-CN"/>
        </w:rPr>
        <w:t xml:space="preserve">    </w:t>
      </w:r>
      <w:r>
        <w:rPr>
          <w:spacing w:val="-3"/>
        </w:rPr>
        <w:t xml:space="preserve">。  </w:t>
      </w:r>
    </w:p>
    <w:p>
      <w:pPr>
        <w:pStyle w:val="4"/>
        <w:spacing w:line="278" w:lineRule="auto"/>
        <w:ind w:left="778" w:right="5248"/>
      </w:pPr>
      <w:r>
        <w:rPr>
          <w:spacing w:val="-3"/>
        </w:rPr>
        <w:t>本</w:t>
      </w:r>
      <w:r>
        <w:rPr>
          <w:rFonts w:hint="eastAsia"/>
          <w:lang w:eastAsia="zh-CN"/>
        </w:rPr>
        <w:t>规范</w:t>
      </w:r>
      <w:r>
        <w:rPr>
          <w:spacing w:val="-3"/>
        </w:rPr>
        <w:t>为首次发布。</w:t>
      </w:r>
      <w:r>
        <w:t xml:space="preserve"> </w:t>
      </w:r>
    </w:p>
    <w:p>
      <w:pPr>
        <w:pStyle w:val="4"/>
        <w:spacing w:line="269" w:lineRule="exact"/>
        <w:ind w:left="778"/>
      </w:pPr>
      <w:r>
        <w:rPr>
          <w:w w:val="100"/>
        </w:rPr>
        <w:t xml:space="preserve"> </w:t>
      </w: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</w:p>
    <w:p>
      <w:pPr>
        <w:pStyle w:val="2"/>
        <w:spacing w:before="55"/>
        <w:ind w:left="241" w:right="296"/>
      </w:pPr>
      <w:r>
        <w:t>企业开办"零成本 小时办"工作规范</w:t>
      </w:r>
    </w:p>
    <w:p>
      <w:pPr>
        <w:pStyle w:val="4"/>
        <w:rPr>
          <w:rFonts w:ascii="黑体"/>
          <w:sz w:val="20"/>
        </w:rPr>
      </w:pPr>
    </w:p>
    <w:p>
      <w:pPr>
        <w:pStyle w:val="4"/>
        <w:spacing w:before="1"/>
        <w:rPr>
          <w:rFonts w:ascii="黑体"/>
          <w:sz w:val="29"/>
        </w:rPr>
      </w:pPr>
    </w:p>
    <w:p>
      <w:pPr>
        <w:pStyle w:val="8"/>
        <w:numPr>
          <w:ilvl w:val="0"/>
          <w:numId w:val="1"/>
        </w:numPr>
        <w:tabs>
          <w:tab w:val="left" w:pos="673"/>
          <w:tab w:val="left" w:pos="674"/>
        </w:tabs>
        <w:spacing w:before="72" w:after="0" w:line="240" w:lineRule="auto"/>
        <w:ind w:left="673" w:right="0" w:hanging="316"/>
        <w:jc w:val="left"/>
        <w:rPr>
          <w:rFonts w:hint="eastAsia" w:ascii="黑体" w:eastAsia="黑体"/>
          <w:sz w:val="21"/>
        </w:rPr>
      </w:pPr>
      <w:bookmarkStart w:id="1" w:name="_bookmark1"/>
      <w:bookmarkEnd w:id="1"/>
      <w:bookmarkStart w:id="2" w:name="_bookmark1"/>
      <w:bookmarkEnd w:id="2"/>
      <w:r>
        <w:rPr>
          <w:rFonts w:hint="eastAsia" w:ascii="黑体" w:eastAsia="黑体"/>
          <w:sz w:val="21"/>
        </w:rPr>
        <w:t>范围</w:t>
      </w:r>
    </w:p>
    <w:p>
      <w:pPr>
        <w:pStyle w:val="4"/>
        <w:spacing w:before="9"/>
        <w:rPr>
          <w:rFonts w:ascii="黑体"/>
          <w:sz w:val="27"/>
        </w:rPr>
      </w:pPr>
    </w:p>
    <w:p>
      <w:pPr>
        <w:pStyle w:val="4"/>
        <w:ind w:firstLine="630" w:firstLineChars="300"/>
      </w:pPr>
      <w:r>
        <w:t>本</w:t>
      </w:r>
      <w:r>
        <w:rPr>
          <w:rFonts w:hint="eastAsia"/>
          <w:lang w:eastAsia="zh-CN"/>
        </w:rPr>
        <w:t>规范</w:t>
      </w:r>
      <w:r>
        <w:t>规定了</w:t>
      </w:r>
      <w:r>
        <w:rPr>
          <w:rFonts w:hint="eastAsia"/>
          <w:lang w:eastAsia="zh-CN"/>
        </w:rPr>
        <w:t>广元</w:t>
      </w:r>
      <w:r>
        <w:t>市企业开办“零成本 小时办”工作的流程、服务、场所及监督与评价。</w:t>
      </w:r>
    </w:p>
    <w:p>
      <w:pPr>
        <w:pStyle w:val="4"/>
        <w:spacing w:before="43" w:line="278" w:lineRule="auto"/>
        <w:ind w:right="406" w:firstLine="630" w:firstLineChars="300"/>
      </w:pPr>
      <w:r>
        <w:t>本</w:t>
      </w:r>
      <w:r>
        <w:rPr>
          <w:rFonts w:hint="eastAsia"/>
          <w:lang w:eastAsia="zh-CN"/>
        </w:rPr>
        <w:t>规范</w:t>
      </w:r>
      <w:r>
        <w:t>适用于</w:t>
      </w:r>
      <w:r>
        <w:rPr>
          <w:rFonts w:hint="eastAsia"/>
          <w:lang w:eastAsia="zh-CN"/>
        </w:rPr>
        <w:t>广元</w:t>
      </w:r>
      <w:r>
        <w:t>市辖区各级行政机关、政务服务机构开展“零成本 小时办”工作。其他依申请实施的政务服务事项参照使用。</w:t>
      </w:r>
    </w:p>
    <w:p>
      <w:pPr>
        <w:pStyle w:val="4"/>
        <w:spacing w:before="7"/>
        <w:rPr>
          <w:sz w:val="24"/>
        </w:rPr>
      </w:pPr>
    </w:p>
    <w:p>
      <w:pPr>
        <w:pStyle w:val="8"/>
        <w:numPr>
          <w:ilvl w:val="0"/>
          <w:numId w:val="1"/>
        </w:numPr>
        <w:tabs>
          <w:tab w:val="left" w:pos="673"/>
          <w:tab w:val="left" w:pos="674"/>
        </w:tabs>
        <w:spacing w:before="0" w:after="0" w:line="240" w:lineRule="auto"/>
        <w:ind w:left="673" w:right="0" w:hanging="316"/>
        <w:jc w:val="left"/>
        <w:rPr>
          <w:rFonts w:hint="eastAsia" w:ascii="黑体" w:eastAsia="黑体"/>
          <w:sz w:val="21"/>
        </w:rPr>
      </w:pPr>
      <w:bookmarkStart w:id="3" w:name="_bookmark2"/>
      <w:bookmarkEnd w:id="3"/>
      <w:bookmarkStart w:id="4" w:name="_bookmark2"/>
      <w:bookmarkEnd w:id="4"/>
      <w:r>
        <w:rPr>
          <w:rFonts w:hint="eastAsia" w:ascii="黑体" w:eastAsia="黑体"/>
          <w:spacing w:val="-2"/>
          <w:sz w:val="21"/>
        </w:rPr>
        <w:t>规范性引用文件</w:t>
      </w:r>
    </w:p>
    <w:p>
      <w:pPr>
        <w:pStyle w:val="4"/>
        <w:spacing w:before="6"/>
        <w:rPr>
          <w:rFonts w:ascii="黑体"/>
          <w:sz w:val="27"/>
        </w:rPr>
      </w:pPr>
    </w:p>
    <w:p>
      <w:pPr>
        <w:pStyle w:val="4"/>
        <w:spacing w:before="1" w:line="278" w:lineRule="auto"/>
        <w:ind w:left="358" w:right="300" w:firstLine="420"/>
      </w:pPr>
      <w:r>
        <w:rPr>
          <w:spacing w:val="-10"/>
        </w:rPr>
        <w:t>下列文件中的内容通过文中的规范性引用而构成本</w:t>
      </w:r>
      <w:r>
        <w:rPr>
          <w:rFonts w:hint="eastAsia"/>
          <w:lang w:eastAsia="zh-CN"/>
        </w:rPr>
        <w:t>规范</w:t>
      </w:r>
      <w:r>
        <w:rPr>
          <w:spacing w:val="-10"/>
        </w:rPr>
        <w:t>必不可少的条款。其中，注日期的引用文件，</w:t>
      </w:r>
      <w:r>
        <w:rPr>
          <w:spacing w:val="-9"/>
        </w:rPr>
        <w:t>仅该日期对应的版本适用于本文件；不注日期的引用文件，其最新版本</w:t>
      </w:r>
      <w:r>
        <w:t>（</w:t>
      </w:r>
      <w:r>
        <w:rPr>
          <w:spacing w:val="-3"/>
        </w:rPr>
        <w:t>包括所有的修改单</w:t>
      </w:r>
      <w:r>
        <w:rPr>
          <w:spacing w:val="-27"/>
        </w:rPr>
        <w:t>）</w:t>
      </w:r>
      <w:r>
        <w:rPr>
          <w:spacing w:val="-3"/>
        </w:rPr>
        <w:t>适用于本</w:t>
      </w:r>
      <w:r>
        <w:rPr>
          <w:rFonts w:hint="eastAsia"/>
          <w:lang w:eastAsia="zh-CN"/>
        </w:rPr>
        <w:t>规范</w:t>
      </w:r>
      <w:r>
        <w:rPr>
          <w:spacing w:val="-3"/>
        </w:rPr>
        <w:t>。</w:t>
      </w:r>
      <w:r>
        <w:t xml:space="preserve"> </w:t>
      </w:r>
    </w:p>
    <w:p>
      <w:pPr>
        <w:pStyle w:val="4"/>
        <w:spacing w:line="269" w:lineRule="exact"/>
        <w:ind w:left="778"/>
      </w:pPr>
      <w:r>
        <w:t xml:space="preserve">GB/T 32169.1-2015 政务服务中心运行规范 第1部分：基本要求 </w:t>
      </w:r>
    </w:p>
    <w:p>
      <w:pPr>
        <w:pStyle w:val="4"/>
        <w:spacing w:before="43"/>
        <w:ind w:left="778"/>
      </w:pPr>
      <w:r>
        <w:t xml:space="preserve">GB/T 32169.3-2015  政务服务中心运行规范  第3部分： 窗口服务提供要求 </w:t>
      </w:r>
    </w:p>
    <w:p>
      <w:pPr>
        <w:pStyle w:val="4"/>
        <w:spacing w:before="11"/>
        <w:rPr>
          <w:sz w:val="27"/>
        </w:rPr>
      </w:pPr>
    </w:p>
    <w:p>
      <w:pPr>
        <w:pStyle w:val="8"/>
        <w:numPr>
          <w:ilvl w:val="0"/>
          <w:numId w:val="1"/>
        </w:numPr>
        <w:tabs>
          <w:tab w:val="left" w:pos="673"/>
          <w:tab w:val="left" w:pos="674"/>
        </w:tabs>
        <w:spacing w:before="0" w:after="0" w:line="240" w:lineRule="auto"/>
        <w:ind w:left="673" w:right="0" w:hanging="316"/>
        <w:jc w:val="left"/>
        <w:rPr>
          <w:rFonts w:hint="eastAsia" w:ascii="黑体" w:eastAsia="黑体"/>
          <w:sz w:val="21"/>
        </w:rPr>
      </w:pPr>
      <w:bookmarkStart w:id="5" w:name="_bookmark3"/>
      <w:bookmarkEnd w:id="5"/>
      <w:bookmarkStart w:id="6" w:name="_bookmark3"/>
      <w:bookmarkEnd w:id="6"/>
      <w:r>
        <w:rPr>
          <w:rFonts w:hint="eastAsia" w:ascii="黑体" w:eastAsia="黑体"/>
          <w:spacing w:val="-1"/>
          <w:sz w:val="21"/>
        </w:rPr>
        <w:t>术语和定义</w:t>
      </w:r>
    </w:p>
    <w:p>
      <w:pPr>
        <w:pStyle w:val="4"/>
        <w:spacing w:before="12"/>
        <w:rPr>
          <w:rFonts w:ascii="黑体"/>
        </w:rPr>
      </w:pPr>
    </w:p>
    <w:p>
      <w:pPr>
        <w:pStyle w:val="4"/>
        <w:spacing w:before="71"/>
        <w:ind w:left="778"/>
      </w:pPr>
      <w:r>
        <w:t xml:space="preserve">下列术语和定义适用于本文件。 </w:t>
      </w:r>
    </w:p>
    <w:p>
      <w:pPr>
        <w:pStyle w:val="8"/>
        <w:numPr>
          <w:ilvl w:val="0"/>
          <w:numId w:val="0"/>
        </w:numPr>
        <w:tabs>
          <w:tab w:val="left" w:pos="677"/>
        </w:tabs>
        <w:spacing w:before="43" w:after="0" w:line="240" w:lineRule="auto"/>
        <w:ind w:right="0" w:rightChars="0" w:firstLine="420" w:firstLineChars="200"/>
        <w:jc w:val="left"/>
        <w:rPr>
          <w:rFonts w:hint="eastAsia" w:ascii="黑体" w:hAnsi="宋体" w:eastAsia="黑体" w:cs="宋体"/>
          <w:sz w:val="21"/>
          <w:szCs w:val="21"/>
          <w:lang w:val="ca-ES" w:eastAsia="zh-CN" w:bidi="ca-ES"/>
        </w:rPr>
      </w:pPr>
      <w:r>
        <w:rPr>
          <w:rFonts w:hint="eastAsia" w:ascii="黑体"/>
          <w:sz w:val="21"/>
          <w:lang w:val="en-US" w:eastAsia="zh-CN"/>
        </w:rPr>
        <w:t xml:space="preserve">3.1  </w:t>
      </w:r>
      <w:r>
        <w:rPr>
          <w:rFonts w:hint="eastAsia" w:ascii="黑体" w:hAnsi="宋体" w:eastAsia="黑体" w:cs="宋体"/>
          <w:sz w:val="21"/>
          <w:szCs w:val="21"/>
          <w:lang w:val="ca-ES" w:eastAsia="zh-CN" w:bidi="ca-ES"/>
        </w:rPr>
        <w:t>企业开办一件事</w:t>
      </w:r>
    </w:p>
    <w:p>
      <w:pPr>
        <w:pStyle w:val="4"/>
        <w:spacing w:before="71"/>
        <w:ind w:left="418" w:leftChars="190" w:firstLine="420" w:firstLineChars="200"/>
        <w:rPr>
          <w:rFonts w:hint="eastAsia"/>
          <w:lang w:eastAsia="zh-CN"/>
        </w:rPr>
      </w:pPr>
      <w:r>
        <w:rPr>
          <w:rFonts w:hint="eastAsia" w:cs="宋体"/>
          <w:lang w:eastAsia="zh-CN"/>
        </w:rPr>
        <w:t>把新开办</w:t>
      </w:r>
      <w:r>
        <w:rPr>
          <w:rFonts w:ascii="宋体" w:hAnsi="宋体" w:eastAsia="宋体" w:cs="宋体"/>
        </w:rPr>
        <w:t>企业</w:t>
      </w:r>
      <w:r>
        <w:rPr>
          <w:rFonts w:hint="eastAsia" w:cs="宋体"/>
          <w:lang w:eastAsia="zh-CN"/>
        </w:rPr>
        <w:t>办理名称自主申报、申领营业执照</w:t>
      </w:r>
      <w:r>
        <w:rPr>
          <w:rFonts w:ascii="宋体" w:hAnsi="宋体" w:eastAsia="宋体" w:cs="宋体"/>
          <w:lang w:val="en-US" w:eastAsia="zh-CN"/>
        </w:rPr>
        <w:t>、刻制印章、申领发票</w:t>
      </w:r>
      <w:r>
        <w:rPr>
          <w:rFonts w:hint="eastAsia" w:cs="宋体"/>
          <w:lang w:val="en-US" w:eastAsia="zh-CN"/>
        </w:rPr>
        <w:t>和税控设备</w:t>
      </w:r>
      <w:r>
        <w:rPr>
          <w:rFonts w:ascii="宋体" w:hAnsi="宋体" w:eastAsia="宋体" w:cs="宋体"/>
          <w:lang w:val="en-US" w:eastAsia="zh-CN"/>
        </w:rPr>
        <w:t>、</w:t>
      </w:r>
      <w:r>
        <w:rPr>
          <w:rFonts w:hint="eastAsia" w:cs="宋体"/>
          <w:lang w:val="en-US" w:eastAsia="zh-CN"/>
        </w:rPr>
        <w:t>员工</w:t>
      </w:r>
      <w:r>
        <w:rPr>
          <w:rFonts w:ascii="宋体" w:hAnsi="宋体" w:eastAsia="宋体" w:cs="宋体"/>
          <w:lang w:val="en-US" w:eastAsia="zh-CN"/>
        </w:rPr>
        <w:t>社</w:t>
      </w:r>
      <w:r>
        <w:rPr>
          <w:rFonts w:hint="eastAsia" w:ascii="宋体" w:hAnsi="宋体" w:eastAsia="宋体" w:cs="宋体"/>
          <w:lang w:val="en-US" w:eastAsia="zh-CN"/>
        </w:rPr>
        <w:t>保登记、企业缴存公积金开户登记</w:t>
      </w:r>
      <w:r>
        <w:rPr>
          <w:rFonts w:hint="eastAsia" w:cs="宋体"/>
          <w:lang w:val="en-US" w:eastAsia="zh-CN"/>
        </w:rPr>
        <w:t>的全流程。</w:t>
      </w:r>
    </w:p>
    <w:p>
      <w:pPr>
        <w:pStyle w:val="8"/>
        <w:numPr>
          <w:ilvl w:val="0"/>
          <w:numId w:val="0"/>
        </w:numPr>
        <w:tabs>
          <w:tab w:val="left" w:pos="677"/>
        </w:tabs>
        <w:spacing w:before="43" w:after="0" w:line="240" w:lineRule="auto"/>
        <w:ind w:right="0" w:rightChars="0" w:firstLine="420" w:firstLineChars="200"/>
        <w:jc w:val="left"/>
        <w:rPr>
          <w:rFonts w:hint="eastAsia" w:ascii="黑体" w:eastAsia="黑体"/>
        </w:rPr>
      </w:pPr>
      <w:r>
        <w:rPr>
          <w:rFonts w:ascii="黑体"/>
          <w:sz w:val="21"/>
        </w:rPr>
        <w:t>3.</w:t>
      </w:r>
      <w:r>
        <w:rPr>
          <w:rFonts w:hint="eastAsia" w:ascii="黑体"/>
          <w:sz w:val="21"/>
          <w:lang w:val="en-US" w:eastAsia="zh-CN"/>
        </w:rPr>
        <w:t xml:space="preserve">2  </w:t>
      </w:r>
      <w:r>
        <w:rPr>
          <w:rFonts w:hint="eastAsia" w:ascii="黑体" w:eastAsia="黑体"/>
        </w:rPr>
        <w:t>零成本</w:t>
      </w:r>
      <w:r>
        <w:rPr>
          <w:rFonts w:hint="eastAsia" w:ascii="黑体" w:eastAsia="黑体"/>
        </w:rPr>
        <w:tab/>
      </w:r>
    </w:p>
    <w:p>
      <w:pPr>
        <w:pStyle w:val="4"/>
        <w:spacing w:before="43"/>
        <w:ind w:left="358" w:firstLine="420" w:firstLineChars="200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新开办企业的首套印章</w:t>
      </w:r>
      <w:r>
        <w:rPr>
          <w:rFonts w:ascii="宋体" w:hAnsi="宋体" w:eastAsia="宋体" w:cs="宋体"/>
          <w:lang w:val="en-US" w:eastAsia="zh-CN"/>
        </w:rPr>
        <w:t>(包括法定名称章、法定代表人名章、财务专用章、</w:t>
      </w:r>
      <w:r>
        <w:rPr>
          <w:rFonts w:hint="eastAsia" w:ascii="宋体" w:hAnsi="宋体" w:eastAsia="宋体" w:cs="宋体"/>
          <w:lang w:val="en-US" w:eastAsia="zh-CN"/>
        </w:rPr>
        <w:t>发票专用章)免费刻制，税务UKey免费发放，营业执照、印章、税务Key等免费寄递</w:t>
      </w:r>
      <w:r>
        <w:rPr>
          <w:rFonts w:ascii="宋体" w:hAnsi="宋体" w:eastAsia="宋体" w:cs="宋体"/>
        </w:rPr>
        <w:t xml:space="preserve">。 </w:t>
      </w:r>
    </w:p>
    <w:p>
      <w:pPr>
        <w:pStyle w:val="8"/>
        <w:numPr>
          <w:ilvl w:val="0"/>
          <w:numId w:val="0"/>
        </w:numPr>
        <w:tabs>
          <w:tab w:val="left" w:pos="677"/>
        </w:tabs>
        <w:spacing w:before="43" w:after="0" w:line="240" w:lineRule="auto"/>
        <w:ind w:right="0" w:rightChars="0" w:firstLine="440" w:firstLineChars="200"/>
        <w:jc w:val="left"/>
        <w:rPr>
          <w:rFonts w:hint="eastAsia" w:ascii="黑体" w:eastAsia="黑体"/>
        </w:rPr>
      </w:pPr>
      <w:r>
        <w:rPr>
          <w:rFonts w:hint="eastAsia" w:ascii="黑体" w:eastAsia="黑体"/>
          <w:lang w:val="en-US" w:eastAsia="zh-CN"/>
        </w:rPr>
        <w:t xml:space="preserve">3.3  </w:t>
      </w:r>
      <w:r>
        <w:rPr>
          <w:rFonts w:hint="eastAsia" w:ascii="黑体" w:eastAsia="黑体"/>
        </w:rPr>
        <w:t>小时办</w:t>
      </w:r>
      <w:r>
        <w:rPr>
          <w:rFonts w:hint="eastAsia" w:ascii="黑体" w:eastAsia="黑体"/>
        </w:rPr>
        <w:tab/>
      </w:r>
    </w:p>
    <w:p>
      <w:pPr>
        <w:pStyle w:val="4"/>
        <w:spacing w:before="43"/>
        <w:ind w:left="358" w:firstLine="420" w:firstLineChars="200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企业开办</w:t>
      </w:r>
      <w:r>
        <w:rPr>
          <w:rFonts w:hint="eastAsia" w:ascii="宋体" w:hAnsi="宋体" w:eastAsia="宋体" w:cs="宋体"/>
          <w:lang w:eastAsia="zh-CN"/>
        </w:rPr>
        <w:t>信息统一采集、统一提交、统一办理，统一反馈，</w:t>
      </w:r>
      <w:r>
        <w:rPr>
          <w:rFonts w:ascii="宋体" w:hAnsi="宋体" w:eastAsia="宋体" w:cs="宋体"/>
        </w:rPr>
        <w:t>实现企业</w:t>
      </w:r>
      <w:r>
        <w:rPr>
          <w:rFonts w:hint="eastAsia" w:ascii="宋体" w:hAnsi="宋体" w:eastAsia="宋体" w:cs="宋体"/>
          <w:lang w:val="en-US" w:eastAsia="zh-CN"/>
        </w:rPr>
        <w:t>设立</w:t>
      </w:r>
      <w:r>
        <w:rPr>
          <w:rFonts w:ascii="宋体" w:hAnsi="宋体" w:eastAsia="宋体" w:cs="宋体"/>
          <w:lang w:val="en-US" w:eastAsia="zh-CN"/>
        </w:rPr>
        <w:t>登记、印章刻制、申领发票、社</w:t>
      </w:r>
      <w:r>
        <w:rPr>
          <w:rFonts w:hint="eastAsia" w:ascii="宋体" w:hAnsi="宋体" w:eastAsia="宋体" w:cs="宋体"/>
          <w:lang w:val="en-US" w:eastAsia="zh-CN"/>
        </w:rPr>
        <w:t>保登记、企业缴存公积金开户登记</w:t>
      </w:r>
      <w:r>
        <w:rPr>
          <w:rFonts w:hint="eastAsia" w:cs="宋体"/>
          <w:lang w:val="en-US" w:eastAsia="zh-CN"/>
        </w:rPr>
        <w:t>4个工作小时内</w:t>
      </w:r>
      <w:r>
        <w:rPr>
          <w:rFonts w:ascii="宋体" w:hAnsi="宋体" w:eastAsia="宋体" w:cs="宋体"/>
        </w:rPr>
        <w:t>办结。</w:t>
      </w:r>
      <w:r>
        <w:rPr>
          <w:rFonts w:ascii="宋体" w:hAnsi="宋体" w:eastAsia="宋体" w:cs="宋体"/>
          <w:lang w:val="en-US" w:eastAsia="zh-CN"/>
        </w:rPr>
        <w:t>对提</w:t>
      </w:r>
      <w:r>
        <w:rPr>
          <w:rFonts w:hint="eastAsia" w:ascii="宋体" w:hAnsi="宋体" w:eastAsia="宋体" w:cs="宋体"/>
          <w:lang w:val="en-US" w:eastAsia="zh-CN"/>
        </w:rPr>
        <w:t>交材料齐全、符合法定形式的，企业设立登记及社保登记1个工作小时</w:t>
      </w:r>
      <w:r>
        <w:rPr>
          <w:rFonts w:hint="eastAsia" w:cs="宋体"/>
          <w:lang w:val="en-US" w:eastAsia="zh-CN"/>
        </w:rPr>
        <w:t>内</w:t>
      </w:r>
      <w:r>
        <w:rPr>
          <w:rFonts w:hint="eastAsia" w:ascii="宋体" w:hAnsi="宋体" w:eastAsia="宋体" w:cs="宋体"/>
          <w:lang w:val="en-US" w:eastAsia="zh-CN"/>
        </w:rPr>
        <w:t>完成，印章刻制2个小时</w:t>
      </w:r>
      <w:r>
        <w:rPr>
          <w:rFonts w:hint="eastAsia" w:cs="宋体"/>
          <w:lang w:val="en-US" w:eastAsia="zh-CN"/>
        </w:rPr>
        <w:t>内</w:t>
      </w:r>
      <w:r>
        <w:rPr>
          <w:rFonts w:hint="eastAsia" w:ascii="宋体" w:hAnsi="宋体" w:eastAsia="宋体" w:cs="宋体"/>
          <w:lang w:val="en-US" w:eastAsia="zh-CN"/>
        </w:rPr>
        <w:t>完成，申领发票及公积金缴存登记1个工作小时</w:t>
      </w:r>
      <w:r>
        <w:rPr>
          <w:rFonts w:hint="eastAsia" w:cs="宋体"/>
          <w:lang w:val="en-US" w:eastAsia="zh-CN"/>
        </w:rPr>
        <w:t>内</w:t>
      </w:r>
      <w:r>
        <w:rPr>
          <w:rFonts w:hint="eastAsia" w:ascii="宋体" w:hAnsi="宋体" w:eastAsia="宋体" w:cs="宋体"/>
          <w:lang w:val="en-US" w:eastAsia="zh-CN"/>
        </w:rPr>
        <w:t>完成。</w:t>
      </w:r>
    </w:p>
    <w:p>
      <w:pPr>
        <w:pStyle w:val="8"/>
        <w:numPr>
          <w:ilvl w:val="0"/>
          <w:numId w:val="0"/>
        </w:numPr>
        <w:tabs>
          <w:tab w:val="left" w:pos="677"/>
        </w:tabs>
        <w:spacing w:before="0" w:after="0" w:line="269" w:lineRule="exact"/>
        <w:ind w:left="357" w:leftChars="0" w:right="0" w:rightChars="0"/>
        <w:jc w:val="left"/>
        <w:rPr>
          <w:rFonts w:hint="eastAsia" w:ascii="黑体" w:eastAsia="黑体"/>
          <w:lang w:eastAsia="zh-CN"/>
        </w:rPr>
      </w:pPr>
      <w:r>
        <w:rPr>
          <w:rFonts w:ascii="黑体"/>
          <w:sz w:val="21"/>
        </w:rPr>
        <w:t>3.</w:t>
      </w:r>
      <w:r>
        <w:rPr>
          <w:rFonts w:hint="eastAsia" w:ascii="黑体"/>
          <w:sz w:val="21"/>
          <w:lang w:val="en-US" w:eastAsia="zh-CN"/>
        </w:rPr>
        <w:t xml:space="preserve">4  </w:t>
      </w:r>
      <w:r>
        <w:rPr>
          <w:rFonts w:hint="eastAsia" w:ascii="黑体" w:eastAsia="黑体"/>
          <w:lang w:eastAsia="zh-CN"/>
        </w:rPr>
        <w:t>一网通办</w:t>
      </w:r>
    </w:p>
    <w:p>
      <w:pPr>
        <w:pStyle w:val="4"/>
        <w:tabs>
          <w:tab w:val="left" w:pos="1621"/>
        </w:tabs>
        <w:spacing w:before="43"/>
        <w:ind w:firstLine="420" w:firstLineChars="200"/>
        <w:rPr>
          <w:rFonts w:hint="eastAsia" w:ascii="黑体" w:eastAsia="黑体"/>
        </w:rPr>
      </w:pPr>
      <w:r>
        <w:rPr>
          <w:rFonts w:hint="eastAsia"/>
          <w:lang w:eastAsia="zh-CN"/>
        </w:rPr>
        <w:t>通过</w:t>
      </w:r>
      <w:r>
        <w:t>四川政务服务网企业开办“一网通办”的线上平台，完成用户注册认证，开办信息填报，在线受理、审核，实现企业开办</w:t>
      </w:r>
      <w:r>
        <w:rPr>
          <w:rFonts w:hint="eastAsia"/>
          <w:lang w:eastAsia="zh-CN"/>
        </w:rPr>
        <w:t>“登录一个平台、填报一次信息、后台实时流转、即时反馈信息”的全流程网上办理服务</w:t>
      </w:r>
      <w:r>
        <w:t>。</w:t>
      </w:r>
    </w:p>
    <w:p>
      <w:pPr>
        <w:keepNext w:val="0"/>
        <w:keepLines w:val="0"/>
        <w:widowControl/>
        <w:suppressLineNumbers w:val="0"/>
        <w:ind w:firstLine="440" w:firstLineChars="200"/>
        <w:jc w:val="left"/>
        <w:rPr>
          <w:rFonts w:hint="eastAsia" w:ascii="宋体" w:hAnsi="宋体" w:eastAsia="宋体" w:cs="宋体"/>
          <w:sz w:val="21"/>
          <w:szCs w:val="21"/>
          <w:lang w:val="ca-ES" w:eastAsia="zh-CN" w:bidi="ca-ES"/>
        </w:rPr>
      </w:pPr>
      <w:r>
        <w:rPr>
          <w:rFonts w:hint="eastAsia"/>
          <w:lang w:eastAsia="zh-CN"/>
        </w:rPr>
        <w:t>通过</w:t>
      </w:r>
      <w:r>
        <w:t>企业开办</w:t>
      </w:r>
      <w:r>
        <w:rPr>
          <w:rFonts w:hint="eastAsia"/>
          <w:lang w:eastAsia="zh-CN"/>
        </w:rPr>
        <w:t>“营商通”</w:t>
      </w:r>
      <w:r>
        <w:t>掌上服务平台（手机APP），完成用户注册认证，开办信息填报，在线受理、审核，实现企业开办、银行授信及融资业务</w:t>
      </w:r>
      <w:r>
        <w:rPr>
          <w:rFonts w:hint="eastAsia"/>
          <w:lang w:eastAsia="zh-CN"/>
        </w:rPr>
        <w:t>全流程网上办理</w:t>
      </w:r>
      <w:r>
        <w:t>。</w:t>
      </w:r>
    </w:p>
    <w:p>
      <w:pPr>
        <w:pStyle w:val="8"/>
        <w:numPr>
          <w:ilvl w:val="0"/>
          <w:numId w:val="0"/>
        </w:numPr>
        <w:tabs>
          <w:tab w:val="left" w:pos="677"/>
        </w:tabs>
        <w:spacing w:before="0" w:after="0" w:line="269" w:lineRule="exact"/>
        <w:ind w:left="357" w:leftChars="0" w:right="0" w:rightChars="0"/>
        <w:jc w:val="left"/>
        <w:rPr>
          <w:rFonts w:hint="eastAsia" w:ascii="黑体" w:eastAsia="黑体"/>
          <w:lang w:eastAsia="zh-CN"/>
        </w:rPr>
      </w:pPr>
      <w:r>
        <w:rPr>
          <w:rFonts w:ascii="黑体"/>
          <w:sz w:val="21"/>
        </w:rPr>
        <w:t>3.</w:t>
      </w:r>
      <w:r>
        <w:rPr>
          <w:rFonts w:hint="eastAsia" w:ascii="黑体"/>
          <w:sz w:val="21"/>
          <w:lang w:val="en-US" w:eastAsia="zh-CN"/>
        </w:rPr>
        <w:t xml:space="preserve">5  </w:t>
      </w:r>
      <w:r>
        <w:rPr>
          <w:rFonts w:hint="eastAsia" w:ascii="黑体" w:eastAsia="黑体"/>
        </w:rPr>
        <w:t>一窗通</w:t>
      </w:r>
      <w:r>
        <w:rPr>
          <w:rFonts w:hint="eastAsia" w:ascii="黑体" w:eastAsia="黑体"/>
          <w:lang w:eastAsia="zh-CN"/>
        </w:rPr>
        <w:t>办</w:t>
      </w:r>
    </w:p>
    <w:p>
      <w:pPr>
        <w:pStyle w:val="4"/>
        <w:tabs>
          <w:tab w:val="left" w:pos="1621"/>
        </w:tabs>
        <w:spacing w:before="43"/>
        <w:ind w:firstLine="420" w:firstLineChars="2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 w:bidi="ca-ES"/>
        </w:rPr>
        <w:t>设立企业开办综合窗口，涉及企业开办的市场监管、公安、税务、</w:t>
      </w:r>
      <w:r>
        <w:rPr>
          <w:rFonts w:hint="eastAsia" w:cs="宋体"/>
          <w:sz w:val="21"/>
          <w:szCs w:val="21"/>
          <w:lang w:val="en-US" w:eastAsia="zh-CN" w:bidi="ca-ES"/>
        </w:rPr>
        <w:t>人力资源和社会保障</w:t>
      </w:r>
      <w:r>
        <w:rPr>
          <w:rFonts w:hint="eastAsia" w:ascii="宋体" w:hAnsi="宋体" w:eastAsia="宋体" w:cs="宋体"/>
          <w:sz w:val="21"/>
          <w:szCs w:val="21"/>
          <w:lang w:val="en-US" w:eastAsia="zh-CN" w:bidi="ca-ES"/>
        </w:rPr>
        <w:t>、公积金</w:t>
      </w:r>
      <w:r>
        <w:rPr>
          <w:rFonts w:hint="eastAsia" w:cs="宋体"/>
          <w:sz w:val="21"/>
          <w:szCs w:val="21"/>
          <w:lang w:val="en-US" w:eastAsia="zh-CN" w:bidi="ca-ES"/>
        </w:rPr>
        <w:t>管理</w:t>
      </w:r>
      <w:r>
        <w:rPr>
          <w:rFonts w:hint="eastAsia" w:ascii="宋体" w:hAnsi="宋体" w:eastAsia="宋体" w:cs="宋体"/>
          <w:sz w:val="21"/>
          <w:szCs w:val="21"/>
          <w:lang w:val="en-US" w:eastAsia="zh-CN" w:bidi="ca-ES"/>
        </w:rPr>
        <w:t>等部门进驻综窗，鼓励商业银行同步入驻，通过“前台综合受理、后台分类审批、综合窗口出件”，实现企业开办信息统一采集、统一提交、统一办理</w:t>
      </w:r>
      <w:r>
        <w:rPr>
          <w:rFonts w:hint="eastAsia" w:cs="宋体"/>
          <w:sz w:val="21"/>
          <w:szCs w:val="21"/>
          <w:lang w:val="en-US" w:eastAsia="zh-CN" w:bidi="ca-ES"/>
        </w:rPr>
        <w:t>、</w:t>
      </w:r>
      <w:r>
        <w:rPr>
          <w:rFonts w:hint="eastAsia" w:ascii="宋体" w:hAnsi="宋体" w:eastAsia="宋体" w:cs="宋体"/>
          <w:sz w:val="21"/>
          <w:szCs w:val="21"/>
          <w:lang w:val="en-US" w:eastAsia="zh-CN" w:bidi="ca-ES"/>
        </w:rPr>
        <w:t>统一反馈的企业开办线下“一</w:t>
      </w:r>
      <w:r>
        <w:rPr>
          <w:rFonts w:hint="eastAsia"/>
          <w:lang w:val="en-US" w:eastAsia="zh-CN"/>
        </w:rPr>
        <w:t>窗通办”服务模式。</w:t>
      </w:r>
    </w:p>
    <w:p>
      <w:pPr>
        <w:pStyle w:val="8"/>
        <w:numPr>
          <w:ilvl w:val="0"/>
          <w:numId w:val="0"/>
        </w:numPr>
        <w:tabs>
          <w:tab w:val="left" w:pos="677"/>
        </w:tabs>
        <w:spacing w:before="0" w:after="0" w:line="269" w:lineRule="exact"/>
        <w:ind w:left="357" w:leftChars="0" w:right="0" w:rightChars="0"/>
        <w:jc w:val="left"/>
        <w:rPr>
          <w:rFonts w:hint="eastAsia" w:ascii="黑体"/>
          <w:sz w:val="21"/>
          <w:lang w:val="en-US" w:eastAsia="zh-CN"/>
        </w:rPr>
      </w:pPr>
      <w:r>
        <w:rPr>
          <w:rFonts w:hint="eastAsia" w:ascii="黑体"/>
          <w:sz w:val="21"/>
          <w:lang w:val="en-US" w:eastAsia="zh-CN"/>
        </w:rPr>
        <w:t xml:space="preserve">3.6  政银合作网点  </w:t>
      </w:r>
    </w:p>
    <w:p>
      <w:pPr>
        <w:pStyle w:val="4"/>
        <w:tabs>
          <w:tab w:val="left" w:pos="1621"/>
        </w:tabs>
        <w:spacing w:before="43"/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发挥银行网点分布广的优势，明确政银合作银行网点，拓展乡镇银行网点提供营业执照帮办、代办服务和自助打印服务。</w:t>
      </w:r>
    </w:p>
    <w:p>
      <w:pPr>
        <w:pStyle w:val="4"/>
        <w:tabs>
          <w:tab w:val="left" w:pos="1621"/>
        </w:tabs>
        <w:spacing w:before="43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3.7  跨区域通办网点  </w:t>
      </w:r>
    </w:p>
    <w:p>
      <w:pPr>
        <w:pStyle w:val="4"/>
        <w:tabs>
          <w:tab w:val="left" w:pos="1621"/>
        </w:tabs>
        <w:spacing w:before="43"/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与毗邻地区加强对接，明确基层市场监管所、商业银行网点作为企业开办跨区域通办网点，形成“异地受理、数据流转、属地审核、就近发照”的跨区域通办模式，实现营业执照异地受理、协同办理、免费寄递。</w:t>
      </w:r>
    </w:p>
    <w:p>
      <w:pPr>
        <w:pStyle w:val="4"/>
        <w:tabs>
          <w:tab w:val="left" w:pos="1621"/>
        </w:tabs>
        <w:spacing w:before="43"/>
        <w:ind w:firstLine="420" w:firstLineChars="200"/>
        <w:rPr>
          <w:rFonts w:hint="eastAsia" w:ascii="黑体" w:hAnsi="宋体" w:eastAsia="宋体" w:cs="宋体"/>
          <w:sz w:val="21"/>
          <w:szCs w:val="22"/>
          <w:lang w:val="en-US" w:eastAsia="zh-CN" w:bidi="ca-ES"/>
        </w:rPr>
      </w:pPr>
      <w:r>
        <w:rPr>
          <w:rFonts w:hint="eastAsia" w:ascii="黑体" w:hAnsi="宋体" w:eastAsia="宋体" w:cs="宋体"/>
          <w:sz w:val="21"/>
          <w:szCs w:val="22"/>
          <w:lang w:val="en-US" w:eastAsia="zh-CN" w:bidi="ca-ES"/>
        </w:rPr>
        <w:t xml:space="preserve">3.8  便民服务点  </w:t>
      </w:r>
    </w:p>
    <w:p>
      <w:pPr>
        <w:pStyle w:val="4"/>
        <w:tabs>
          <w:tab w:val="left" w:pos="1621"/>
        </w:tabs>
        <w:spacing w:before="43"/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推广全市“村能办”试点工作成效，坚持方便办好事、能够办成事原则，将企业开办服务延伸到乡镇、村（社区）便民服务中心，为申请人提供营业执照帮办、代办服务。</w:t>
      </w:r>
    </w:p>
    <w:p>
      <w:pPr>
        <w:pStyle w:val="8"/>
        <w:numPr>
          <w:ilvl w:val="0"/>
          <w:numId w:val="0"/>
        </w:numPr>
        <w:tabs>
          <w:tab w:val="left" w:pos="677"/>
        </w:tabs>
        <w:spacing w:before="72" w:after="0" w:line="240" w:lineRule="auto"/>
        <w:ind w:left="357" w:leftChars="0" w:right="0" w:rightChars="0"/>
        <w:jc w:val="left"/>
        <w:rPr>
          <w:rFonts w:hint="eastAsia" w:ascii="黑体"/>
          <w:sz w:val="21"/>
          <w:lang w:val="ca-ES" w:eastAsia="ca-ES"/>
        </w:rPr>
      </w:pPr>
      <w:r>
        <w:rPr>
          <w:rFonts w:hint="eastAsia" w:ascii="黑体" w:hAnsi="黑体" w:eastAsia="黑体" w:cs="黑体"/>
          <w:sz w:val="21"/>
          <w:lang w:val="ca-ES" w:eastAsia="ca-ES"/>
        </w:rPr>
        <w:t>3.</w:t>
      </w:r>
      <w:r>
        <w:rPr>
          <w:rFonts w:hint="eastAsia" w:ascii="黑体" w:hAnsi="黑体" w:eastAsia="黑体" w:cs="黑体"/>
          <w:sz w:val="21"/>
          <w:lang w:val="en-US" w:eastAsia="zh-CN"/>
        </w:rPr>
        <w:t xml:space="preserve">9  </w:t>
      </w:r>
      <w:r>
        <w:rPr>
          <w:rFonts w:hint="eastAsia" w:ascii="黑体" w:hAnsi="黑体" w:eastAsia="黑体" w:cs="黑体"/>
          <w:sz w:val="21"/>
          <w:lang w:val="ca-ES" w:eastAsia="ca-ES"/>
        </w:rPr>
        <w:t>开办企业实施机关</w:t>
      </w:r>
      <w:r>
        <w:rPr>
          <w:rFonts w:hint="eastAsia" w:ascii="黑体"/>
          <w:sz w:val="21"/>
          <w:lang w:val="ca-ES" w:eastAsia="ca-ES"/>
        </w:rPr>
        <w:tab/>
      </w:r>
    </w:p>
    <w:p>
      <w:pPr>
        <w:pStyle w:val="4"/>
        <w:tabs>
          <w:tab w:val="left" w:pos="1621"/>
        </w:tabs>
        <w:spacing w:before="43"/>
        <w:ind w:firstLine="420" w:firstLineChars="200"/>
      </w:pPr>
      <w:r>
        <w:t>实施企业开办的组织，包括</w:t>
      </w:r>
      <w:r>
        <w:rPr>
          <w:rFonts w:hint="eastAsia"/>
          <w:lang w:eastAsia="zh-CN"/>
        </w:rPr>
        <w:t>市场监管、公安、税务、人力资源和社会保障、公积金管理中心等涉及企业开办业务的相关部门</w:t>
      </w:r>
      <w:r>
        <w:t>。</w:t>
      </w:r>
    </w:p>
    <w:p>
      <w:pPr>
        <w:pStyle w:val="8"/>
        <w:numPr>
          <w:ilvl w:val="0"/>
          <w:numId w:val="0"/>
        </w:numPr>
        <w:tabs>
          <w:tab w:val="left" w:pos="677"/>
        </w:tabs>
        <w:spacing w:before="72" w:after="0" w:line="240" w:lineRule="auto"/>
        <w:ind w:left="357" w:leftChars="0" w:right="0" w:rightChars="0"/>
        <w:jc w:val="left"/>
        <w:rPr>
          <w:rFonts w:hint="eastAsia" w:ascii="黑体" w:eastAsia="黑体"/>
        </w:rPr>
      </w:pPr>
      <w:r>
        <w:rPr>
          <w:rFonts w:ascii="黑体"/>
          <w:sz w:val="21"/>
        </w:rPr>
        <w:t>3.</w:t>
      </w:r>
      <w:r>
        <w:rPr>
          <w:rFonts w:hint="eastAsia" w:ascii="黑体"/>
          <w:sz w:val="21"/>
          <w:lang w:val="en-US" w:eastAsia="zh-CN"/>
        </w:rPr>
        <w:t xml:space="preserve">10  </w:t>
      </w:r>
      <w:r>
        <w:rPr>
          <w:rFonts w:hint="eastAsia" w:ascii="黑体" w:eastAsia="黑体"/>
        </w:rPr>
        <w:t>政务</w:t>
      </w:r>
      <w:r>
        <w:rPr>
          <w:rFonts w:hint="eastAsia" w:ascii="黑体" w:eastAsia="黑体"/>
          <w:spacing w:val="-3"/>
        </w:rPr>
        <w:t>服</w:t>
      </w:r>
      <w:r>
        <w:rPr>
          <w:rFonts w:hint="eastAsia" w:ascii="黑体" w:eastAsia="黑体"/>
        </w:rPr>
        <w:t>务</w:t>
      </w:r>
      <w:r>
        <w:rPr>
          <w:rFonts w:hint="eastAsia" w:ascii="黑体" w:eastAsia="黑体"/>
          <w:spacing w:val="-3"/>
        </w:rPr>
        <w:t>管</w:t>
      </w:r>
      <w:r>
        <w:rPr>
          <w:rFonts w:hint="eastAsia" w:ascii="黑体" w:eastAsia="黑体"/>
        </w:rPr>
        <w:t>理</w:t>
      </w:r>
      <w:r>
        <w:rPr>
          <w:rFonts w:hint="eastAsia" w:ascii="黑体" w:eastAsia="黑体"/>
          <w:spacing w:val="-3"/>
        </w:rPr>
        <w:t>机</w:t>
      </w:r>
      <w:r>
        <w:rPr>
          <w:rFonts w:hint="eastAsia" w:ascii="黑体" w:eastAsia="黑体"/>
        </w:rPr>
        <w:t>构</w:t>
      </w:r>
      <w:r>
        <w:rPr>
          <w:rFonts w:hint="eastAsia" w:ascii="黑体" w:eastAsia="黑体"/>
        </w:rPr>
        <w:tab/>
      </w:r>
    </w:p>
    <w:p>
      <w:pPr>
        <w:pStyle w:val="4"/>
        <w:spacing w:before="43"/>
        <w:ind w:left="778"/>
      </w:pPr>
      <w:r>
        <w:t xml:space="preserve">负责组织协调、指导服务、监督管理开办企业实施机关开展工作的机构。 </w:t>
      </w:r>
    </w:p>
    <w:p>
      <w:pPr>
        <w:pStyle w:val="8"/>
        <w:numPr>
          <w:ilvl w:val="0"/>
          <w:numId w:val="0"/>
        </w:numPr>
        <w:tabs>
          <w:tab w:val="left" w:pos="677"/>
        </w:tabs>
        <w:spacing w:before="43" w:after="0" w:line="240" w:lineRule="auto"/>
        <w:ind w:left="357" w:leftChars="0" w:right="0" w:rightChars="0"/>
        <w:jc w:val="left"/>
        <w:rPr>
          <w:rFonts w:hint="eastAsia" w:ascii="黑体" w:eastAsia="黑体"/>
        </w:rPr>
      </w:pPr>
      <w:r>
        <w:rPr>
          <w:rFonts w:ascii="黑体"/>
          <w:sz w:val="21"/>
        </w:rPr>
        <w:t>3.</w:t>
      </w:r>
      <w:r>
        <w:rPr>
          <w:rFonts w:hint="eastAsia" w:ascii="黑体"/>
          <w:sz w:val="21"/>
          <w:lang w:val="en-US" w:eastAsia="zh-CN"/>
        </w:rPr>
        <w:t xml:space="preserve">11  </w:t>
      </w:r>
      <w:r>
        <w:rPr>
          <w:rFonts w:hint="eastAsia" w:ascii="黑体" w:eastAsia="黑体"/>
          <w:lang w:eastAsia="zh-CN"/>
        </w:rPr>
        <w:t>办事</w:t>
      </w:r>
      <w:r>
        <w:rPr>
          <w:rFonts w:hint="eastAsia" w:ascii="黑体" w:eastAsia="黑体"/>
          <w:spacing w:val="-3"/>
        </w:rPr>
        <w:t>指</w:t>
      </w:r>
      <w:r>
        <w:rPr>
          <w:rFonts w:hint="eastAsia" w:ascii="黑体" w:eastAsia="黑体"/>
        </w:rPr>
        <w:t>南</w:t>
      </w:r>
      <w:r>
        <w:rPr>
          <w:rFonts w:hint="eastAsia" w:ascii="黑体" w:eastAsia="黑体"/>
        </w:rPr>
        <w:tab/>
      </w:r>
    </w:p>
    <w:p>
      <w:pPr>
        <w:pStyle w:val="4"/>
        <w:spacing w:before="43"/>
        <w:ind w:left="778"/>
      </w:pPr>
      <w:r>
        <w:rPr>
          <w:rFonts w:hint="eastAsia"/>
          <w:lang w:eastAsia="zh-CN"/>
        </w:rPr>
        <w:t>开办企业</w:t>
      </w:r>
      <w:r>
        <w:t>实施机关为行政许可申请人办理</w:t>
      </w:r>
      <w:r>
        <w:rPr>
          <w:rFonts w:hint="eastAsia"/>
          <w:lang w:eastAsia="zh-CN"/>
        </w:rPr>
        <w:t>企业开办</w:t>
      </w:r>
      <w:r>
        <w:t>提供的具体</w:t>
      </w:r>
      <w:r>
        <w:rPr>
          <w:rFonts w:hint="eastAsia"/>
          <w:lang w:eastAsia="zh-CN"/>
        </w:rPr>
        <w:t>操作</w:t>
      </w:r>
      <w:r>
        <w:t xml:space="preserve">指引。 </w:t>
      </w:r>
    </w:p>
    <w:p>
      <w:pPr>
        <w:pStyle w:val="4"/>
        <w:spacing w:before="3"/>
        <w:rPr>
          <w:sz w:val="22"/>
        </w:rPr>
      </w:pPr>
    </w:p>
    <w:p>
      <w:pPr>
        <w:pStyle w:val="8"/>
        <w:numPr>
          <w:ilvl w:val="0"/>
          <w:numId w:val="1"/>
        </w:numPr>
        <w:tabs>
          <w:tab w:val="left" w:pos="673"/>
          <w:tab w:val="left" w:pos="674"/>
        </w:tabs>
        <w:spacing w:before="72" w:after="0" w:line="240" w:lineRule="auto"/>
        <w:ind w:left="673" w:right="0" w:hanging="316"/>
        <w:jc w:val="left"/>
        <w:rPr>
          <w:rFonts w:hint="eastAsia" w:ascii="黑体" w:eastAsia="黑体"/>
          <w:sz w:val="21"/>
        </w:rPr>
      </w:pPr>
      <w:bookmarkStart w:id="7" w:name="_bookmark4"/>
      <w:bookmarkEnd w:id="7"/>
      <w:bookmarkStart w:id="8" w:name="_bookmark4"/>
      <w:bookmarkEnd w:id="8"/>
      <w:r>
        <w:rPr>
          <w:rFonts w:hint="eastAsia" w:ascii="黑体" w:eastAsia="黑体"/>
          <w:sz w:val="21"/>
        </w:rPr>
        <w:t>流程</w:t>
      </w:r>
    </w:p>
    <w:p>
      <w:pPr>
        <w:pStyle w:val="4"/>
        <w:spacing w:before="12"/>
        <w:rPr>
          <w:rFonts w:ascii="黑体"/>
        </w:rPr>
      </w:pPr>
    </w:p>
    <w:p>
      <w:pPr>
        <w:pStyle w:val="8"/>
        <w:numPr>
          <w:ilvl w:val="1"/>
          <w:numId w:val="1"/>
        </w:numPr>
        <w:tabs>
          <w:tab w:val="left" w:pos="884"/>
          <w:tab w:val="left" w:pos="885"/>
        </w:tabs>
        <w:spacing w:before="71" w:after="0" w:line="240" w:lineRule="auto"/>
        <w:ind w:left="884" w:right="0" w:hanging="52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申请与受理</w:t>
      </w:r>
    </w:p>
    <w:p>
      <w:pPr>
        <w:pStyle w:val="4"/>
        <w:rPr>
          <w:rFonts w:ascii="黑体"/>
          <w:sz w:val="10"/>
        </w:rPr>
      </w:pPr>
    </w:p>
    <w:p>
      <w:pPr>
        <w:pStyle w:val="8"/>
        <w:numPr>
          <w:ilvl w:val="2"/>
          <w:numId w:val="1"/>
        </w:numPr>
        <w:tabs>
          <w:tab w:val="left" w:pos="1093"/>
          <w:tab w:val="left" w:pos="1094"/>
        </w:tabs>
        <w:spacing w:before="71" w:after="0" w:line="240" w:lineRule="auto"/>
        <w:ind w:left="1093" w:right="0" w:hanging="736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z w:val="21"/>
        </w:rPr>
        <w:t>申请</w:t>
      </w:r>
    </w:p>
    <w:p>
      <w:pPr>
        <w:pStyle w:val="4"/>
        <w:spacing w:before="7"/>
        <w:rPr>
          <w:rFonts w:ascii="黑体"/>
          <w:sz w:val="15"/>
        </w:rPr>
      </w:pPr>
    </w:p>
    <w:p>
      <w:pPr>
        <w:pStyle w:val="8"/>
        <w:numPr>
          <w:ilvl w:val="3"/>
          <w:numId w:val="1"/>
        </w:numPr>
        <w:tabs>
          <w:tab w:val="left" w:pos="1304"/>
          <w:tab w:val="left" w:pos="1305"/>
        </w:tabs>
        <w:spacing w:before="1" w:after="0" w:line="278" w:lineRule="auto"/>
        <w:ind w:left="358" w:right="406" w:firstLine="0"/>
        <w:jc w:val="left"/>
        <w:rPr>
          <w:sz w:val="21"/>
        </w:rPr>
      </w:pPr>
      <w:bookmarkStart w:id="16" w:name="_GoBack"/>
      <w:bookmarkEnd w:id="16"/>
      <w:r>
        <w:rPr>
          <w:spacing w:val="-3"/>
          <w:sz w:val="21"/>
        </w:rPr>
        <w:t>开办企业实施机关应通过</w:t>
      </w:r>
      <w:r>
        <w:rPr>
          <w:rFonts w:hint="eastAsia"/>
          <w:spacing w:val="-3"/>
          <w:sz w:val="21"/>
          <w:lang w:eastAsia="zh-CN"/>
        </w:rPr>
        <w:t>四川一体化政务服务平台</w:t>
      </w:r>
      <w:r>
        <w:rPr>
          <w:spacing w:val="-3"/>
          <w:sz w:val="21"/>
        </w:rPr>
        <w:t>、政务服务大厅</w:t>
      </w:r>
      <w:r>
        <w:rPr>
          <w:sz w:val="21"/>
        </w:rPr>
        <w:t>（</w:t>
      </w:r>
      <w:r>
        <w:rPr>
          <w:spacing w:val="-2"/>
          <w:sz w:val="21"/>
        </w:rPr>
        <w:t>窗口</w:t>
      </w:r>
      <w:r>
        <w:rPr>
          <w:sz w:val="21"/>
        </w:rPr>
        <w:t>）</w:t>
      </w:r>
      <w:r>
        <w:rPr>
          <w:spacing w:val="-3"/>
          <w:sz w:val="21"/>
        </w:rPr>
        <w:t>等途径接收企业开办申请人的申请材料。实施机关不应要求申请人通过多种途径重复提交申请材料。</w:t>
      </w:r>
    </w:p>
    <w:p>
      <w:pPr>
        <w:pStyle w:val="8"/>
        <w:numPr>
          <w:ilvl w:val="3"/>
          <w:numId w:val="1"/>
        </w:numPr>
        <w:tabs>
          <w:tab w:val="left" w:pos="1304"/>
          <w:tab w:val="left" w:pos="1305"/>
        </w:tabs>
        <w:spacing w:before="0" w:after="0" w:line="269" w:lineRule="exact"/>
        <w:ind w:left="1304" w:right="0" w:hanging="947"/>
        <w:jc w:val="left"/>
        <w:rPr>
          <w:sz w:val="21"/>
        </w:rPr>
      </w:pPr>
      <w:r>
        <w:rPr>
          <w:spacing w:val="-3"/>
          <w:sz w:val="21"/>
        </w:rPr>
        <w:t>开办企业实施机关应提供政务服务大厅（</w:t>
      </w:r>
      <w:r>
        <w:rPr>
          <w:spacing w:val="-2"/>
          <w:sz w:val="21"/>
        </w:rPr>
        <w:t>窗口</w:t>
      </w:r>
      <w:r>
        <w:rPr>
          <w:sz w:val="21"/>
        </w:rPr>
        <w:t>）</w:t>
      </w:r>
      <w:r>
        <w:rPr>
          <w:spacing w:val="-3"/>
          <w:sz w:val="21"/>
        </w:rPr>
        <w:t>排队取号、网上办理、电话预约等服务。</w:t>
      </w:r>
    </w:p>
    <w:p>
      <w:pPr>
        <w:pStyle w:val="8"/>
        <w:numPr>
          <w:ilvl w:val="3"/>
          <w:numId w:val="1"/>
        </w:numPr>
        <w:tabs>
          <w:tab w:val="left" w:pos="1304"/>
          <w:tab w:val="left" w:pos="1305"/>
        </w:tabs>
        <w:spacing w:before="0" w:after="0" w:line="269" w:lineRule="exact"/>
        <w:ind w:left="1304" w:right="0" w:hanging="947"/>
        <w:jc w:val="left"/>
        <w:rPr>
          <w:spacing w:val="-3"/>
          <w:sz w:val="21"/>
        </w:rPr>
      </w:pPr>
      <w:r>
        <w:rPr>
          <w:rFonts w:hint="eastAsia"/>
          <w:spacing w:val="-3"/>
          <w:sz w:val="21"/>
          <w:lang w:eastAsia="zh-CN"/>
        </w:rPr>
        <w:t>开</w:t>
      </w:r>
      <w:r>
        <w:rPr>
          <w:spacing w:val="-3"/>
          <w:sz w:val="21"/>
        </w:rPr>
        <w:t>办企业实施机关</w:t>
      </w:r>
      <w:r>
        <w:rPr>
          <w:rFonts w:hint="eastAsia"/>
          <w:spacing w:val="-3"/>
          <w:sz w:val="21"/>
          <w:lang w:eastAsia="zh-CN"/>
        </w:rPr>
        <w:t>相关部门可拓展企业开办政银合作网点、跨区域通办网点、便民服务点，提供营业执照帮办、代办服务，提升企业开办服务水平。</w:t>
      </w:r>
    </w:p>
    <w:p>
      <w:pPr>
        <w:pStyle w:val="8"/>
        <w:numPr>
          <w:ilvl w:val="3"/>
          <w:numId w:val="1"/>
        </w:numPr>
        <w:tabs>
          <w:tab w:val="left" w:pos="1304"/>
          <w:tab w:val="left" w:pos="1305"/>
        </w:tabs>
        <w:spacing w:before="0" w:after="0" w:line="269" w:lineRule="exact"/>
        <w:ind w:left="1304" w:right="0" w:hanging="947"/>
        <w:jc w:val="left"/>
        <w:rPr>
          <w:sz w:val="21"/>
        </w:rPr>
      </w:pPr>
      <w:r>
        <w:rPr>
          <w:rFonts w:hint="eastAsia"/>
          <w:spacing w:val="-3"/>
          <w:sz w:val="21"/>
          <w:lang w:eastAsia="zh-CN"/>
        </w:rPr>
        <w:t>政务服务管理机构应组织协调设立企业开办综合窗口、自助服务区，提供帮办、导办等服务。</w:t>
      </w:r>
    </w:p>
    <w:p>
      <w:pPr>
        <w:pStyle w:val="4"/>
        <w:spacing w:before="6"/>
        <w:rPr>
          <w:sz w:val="15"/>
        </w:rPr>
      </w:pPr>
    </w:p>
    <w:p>
      <w:pPr>
        <w:pStyle w:val="8"/>
        <w:numPr>
          <w:ilvl w:val="2"/>
          <w:numId w:val="1"/>
        </w:numPr>
        <w:tabs>
          <w:tab w:val="left" w:pos="1093"/>
          <w:tab w:val="left" w:pos="1094"/>
        </w:tabs>
        <w:spacing w:before="0" w:after="0" w:line="240" w:lineRule="auto"/>
        <w:ind w:left="1093" w:right="0" w:hanging="736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z w:val="21"/>
        </w:rPr>
        <w:t>受理</w:t>
      </w:r>
    </w:p>
    <w:p>
      <w:pPr>
        <w:pStyle w:val="4"/>
        <w:spacing w:before="7"/>
        <w:rPr>
          <w:rFonts w:ascii="黑体"/>
          <w:sz w:val="15"/>
        </w:rPr>
      </w:pPr>
    </w:p>
    <w:p>
      <w:pPr>
        <w:pStyle w:val="8"/>
        <w:numPr>
          <w:ilvl w:val="3"/>
          <w:numId w:val="1"/>
        </w:numPr>
        <w:tabs>
          <w:tab w:val="left" w:pos="1304"/>
          <w:tab w:val="left" w:pos="1305"/>
        </w:tabs>
        <w:spacing w:before="0" w:after="0" w:line="240" w:lineRule="auto"/>
        <w:ind w:left="1304" w:right="0" w:hanging="94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准予受理</w:t>
      </w:r>
    </w:p>
    <w:p>
      <w:pPr>
        <w:pStyle w:val="4"/>
        <w:spacing w:before="7"/>
        <w:rPr>
          <w:rFonts w:ascii="黑体"/>
          <w:sz w:val="15"/>
        </w:rPr>
      </w:pPr>
    </w:p>
    <w:p>
      <w:pPr>
        <w:pStyle w:val="8"/>
        <w:numPr>
          <w:ilvl w:val="4"/>
          <w:numId w:val="1"/>
        </w:numPr>
        <w:tabs>
          <w:tab w:val="left" w:pos="1513"/>
          <w:tab w:val="left" w:pos="1514"/>
        </w:tabs>
        <w:spacing w:before="0" w:after="0" w:line="278" w:lineRule="auto"/>
        <w:ind w:left="358" w:right="406" w:firstLine="0"/>
        <w:jc w:val="left"/>
        <w:rPr>
          <w:spacing w:val="-3"/>
          <w:sz w:val="21"/>
        </w:rPr>
      </w:pPr>
      <w:r>
        <w:rPr>
          <w:spacing w:val="-3"/>
          <w:sz w:val="21"/>
        </w:rPr>
        <w:t>申请人</w:t>
      </w:r>
      <w:r>
        <w:rPr>
          <w:rFonts w:hint="eastAsia"/>
          <w:spacing w:val="-3"/>
          <w:sz w:val="21"/>
          <w:lang w:eastAsia="zh-CN"/>
        </w:rPr>
        <w:t>通过四川</w:t>
      </w:r>
      <w:r>
        <w:rPr>
          <w:spacing w:val="-3"/>
          <w:sz w:val="21"/>
        </w:rPr>
        <w:t>政务服务网、</w:t>
      </w:r>
      <w:r>
        <w:rPr>
          <w:rFonts w:hint="eastAsia"/>
          <w:spacing w:val="-3"/>
          <w:sz w:val="21"/>
          <w:lang w:eastAsia="zh-CN"/>
        </w:rPr>
        <w:t>“营商通”</w:t>
      </w:r>
      <w:r>
        <w:rPr>
          <w:spacing w:val="-3"/>
          <w:sz w:val="21"/>
        </w:rPr>
        <w:t>掌上服务平台</w:t>
      </w:r>
      <w:r>
        <w:rPr>
          <w:rFonts w:hint="eastAsia"/>
          <w:spacing w:val="-3"/>
          <w:sz w:val="21"/>
          <w:lang w:eastAsia="zh-CN"/>
        </w:rPr>
        <w:t>、</w:t>
      </w:r>
      <w:r>
        <w:rPr>
          <w:spacing w:val="-3"/>
          <w:sz w:val="21"/>
        </w:rPr>
        <w:t>政务服务大厅（窗口）等途径提交的开办企业申请，申请材料齐全且符合法定形式的，开办企业实施机关应即时受理。</w:t>
      </w:r>
    </w:p>
    <w:p>
      <w:pPr>
        <w:pStyle w:val="8"/>
        <w:numPr>
          <w:ilvl w:val="4"/>
          <w:numId w:val="1"/>
        </w:numPr>
        <w:tabs>
          <w:tab w:val="left" w:pos="1513"/>
          <w:tab w:val="left" w:pos="1514"/>
        </w:tabs>
        <w:spacing w:before="0" w:after="0" w:line="278" w:lineRule="auto"/>
        <w:ind w:left="358" w:right="406" w:firstLine="0"/>
        <w:jc w:val="left"/>
        <w:rPr>
          <w:rFonts w:hint="eastAsia"/>
          <w:spacing w:val="-3"/>
          <w:sz w:val="21"/>
          <w:lang w:eastAsia="zh-CN"/>
        </w:rPr>
      </w:pPr>
      <w:r>
        <w:rPr>
          <w:rFonts w:hint="eastAsia"/>
          <w:spacing w:val="-3"/>
          <w:sz w:val="21"/>
          <w:lang w:eastAsia="zh-CN"/>
        </w:rPr>
        <w:t>申请人到</w:t>
      </w:r>
      <w:r>
        <w:rPr>
          <w:spacing w:val="-3"/>
          <w:sz w:val="21"/>
        </w:rPr>
        <w:t>政务服务大厅（窗口）</w:t>
      </w:r>
      <w:r>
        <w:rPr>
          <w:rFonts w:hint="eastAsia"/>
          <w:spacing w:val="-3"/>
          <w:sz w:val="21"/>
          <w:lang w:eastAsia="zh-CN"/>
        </w:rPr>
        <w:t>提交申请的，</w:t>
      </w:r>
      <w:r>
        <w:rPr>
          <w:spacing w:val="-3"/>
          <w:sz w:val="21"/>
        </w:rPr>
        <w:t>开办企业实施机关</w:t>
      </w:r>
      <w:r>
        <w:rPr>
          <w:rFonts w:hint="eastAsia"/>
          <w:spacing w:val="-3"/>
          <w:sz w:val="21"/>
          <w:lang w:eastAsia="zh-CN"/>
        </w:rPr>
        <w:t>按照企业开办一件事收取申请材料。</w:t>
      </w:r>
    </w:p>
    <w:p>
      <w:pPr>
        <w:pStyle w:val="8"/>
        <w:numPr>
          <w:ilvl w:val="3"/>
          <w:numId w:val="1"/>
        </w:numPr>
        <w:tabs>
          <w:tab w:val="left" w:pos="1304"/>
          <w:tab w:val="left" w:pos="1305"/>
        </w:tabs>
        <w:spacing w:before="156" w:after="0" w:line="240" w:lineRule="auto"/>
        <w:ind w:left="1304" w:right="0" w:hanging="94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z w:val="21"/>
        </w:rPr>
        <w:t>补正</w:t>
      </w:r>
    </w:p>
    <w:p>
      <w:pPr>
        <w:pStyle w:val="4"/>
        <w:spacing w:before="6"/>
        <w:rPr>
          <w:rFonts w:ascii="黑体"/>
          <w:sz w:val="15"/>
        </w:rPr>
      </w:pPr>
    </w:p>
    <w:p>
      <w:pPr>
        <w:pStyle w:val="8"/>
        <w:numPr>
          <w:ilvl w:val="4"/>
          <w:numId w:val="1"/>
        </w:numPr>
        <w:tabs>
          <w:tab w:val="left" w:pos="1513"/>
          <w:tab w:val="left" w:pos="1514"/>
        </w:tabs>
        <w:spacing w:before="0" w:after="0" w:line="278" w:lineRule="auto"/>
        <w:ind w:left="358" w:right="406" w:firstLine="0"/>
        <w:jc w:val="left"/>
        <w:rPr>
          <w:sz w:val="21"/>
        </w:rPr>
      </w:pPr>
      <w:r>
        <w:rPr>
          <w:spacing w:val="-3"/>
          <w:sz w:val="21"/>
        </w:rPr>
        <w:t>申请材料不齐全或不符合法定形式的，开办企业实施机关应一次性告知需要补正的全部内容，由申请人补正。</w:t>
      </w:r>
      <w:r>
        <w:rPr>
          <w:sz w:val="21"/>
        </w:rPr>
        <w:t xml:space="preserve"> </w:t>
      </w:r>
    </w:p>
    <w:p>
      <w:pPr>
        <w:pStyle w:val="8"/>
        <w:numPr>
          <w:ilvl w:val="4"/>
          <w:numId w:val="1"/>
        </w:numPr>
        <w:tabs>
          <w:tab w:val="left" w:pos="1513"/>
          <w:tab w:val="left" w:pos="1514"/>
        </w:tabs>
        <w:spacing w:before="1" w:after="0" w:line="278" w:lineRule="auto"/>
        <w:ind w:left="358" w:right="406" w:firstLine="0"/>
        <w:jc w:val="left"/>
        <w:rPr>
          <w:sz w:val="21"/>
        </w:rPr>
      </w:pPr>
      <w:r>
        <w:rPr>
          <w:spacing w:val="-3"/>
          <w:sz w:val="21"/>
        </w:rPr>
        <w:t>不能当场告知需要补正全部内容的，开办企业实施机关应在规定的时间内告知。逾期不告知的，自收到申请材料之日起即为受理。</w:t>
      </w:r>
      <w:r>
        <w:rPr>
          <w:sz w:val="21"/>
        </w:rPr>
        <w:t xml:space="preserve"> </w:t>
      </w:r>
    </w:p>
    <w:p>
      <w:pPr>
        <w:pStyle w:val="8"/>
        <w:numPr>
          <w:ilvl w:val="4"/>
          <w:numId w:val="1"/>
        </w:numPr>
        <w:tabs>
          <w:tab w:val="left" w:pos="1513"/>
          <w:tab w:val="left" w:pos="1514"/>
        </w:tabs>
        <w:spacing w:before="0" w:after="0" w:line="278" w:lineRule="auto"/>
        <w:ind w:left="358" w:right="406" w:firstLine="0"/>
        <w:jc w:val="left"/>
        <w:rPr>
          <w:sz w:val="21"/>
        </w:rPr>
      </w:pPr>
      <w:r>
        <w:rPr>
          <w:spacing w:val="-3"/>
          <w:sz w:val="21"/>
        </w:rPr>
        <w:t>网上受理的申请材料不齐全或不符合法定形式的，开办企业实施机关应在规定的时间内， 通过同一网上开办平台予以告知。</w:t>
      </w:r>
      <w:r>
        <w:rPr>
          <w:sz w:val="21"/>
        </w:rPr>
        <w:t xml:space="preserve"> </w:t>
      </w:r>
    </w:p>
    <w:p>
      <w:pPr>
        <w:pStyle w:val="8"/>
        <w:numPr>
          <w:ilvl w:val="4"/>
          <w:numId w:val="1"/>
        </w:numPr>
        <w:tabs>
          <w:tab w:val="left" w:pos="1513"/>
          <w:tab w:val="left" w:pos="1514"/>
        </w:tabs>
        <w:spacing w:before="0" w:after="0" w:line="269" w:lineRule="exact"/>
        <w:ind w:left="1513" w:right="0" w:hanging="1156"/>
        <w:jc w:val="left"/>
        <w:rPr>
          <w:sz w:val="21"/>
        </w:rPr>
      </w:pPr>
      <w:r>
        <w:rPr>
          <w:spacing w:val="-3"/>
          <w:sz w:val="21"/>
        </w:rPr>
        <w:t>申请人已按一次性告知要求补正申请材料的，开办企业实施机关应予受理。</w:t>
      </w:r>
    </w:p>
    <w:p>
      <w:pPr>
        <w:pStyle w:val="8"/>
        <w:numPr>
          <w:ilvl w:val="3"/>
          <w:numId w:val="1"/>
        </w:numPr>
        <w:tabs>
          <w:tab w:val="left" w:pos="1304"/>
          <w:tab w:val="left" w:pos="1305"/>
        </w:tabs>
        <w:spacing w:before="156" w:after="0" w:line="240" w:lineRule="auto"/>
        <w:ind w:left="1304" w:right="0" w:hanging="947"/>
        <w:jc w:val="left"/>
        <w:rPr>
          <w:rFonts w:hint="eastAsia" w:ascii="黑体" w:eastAsia="黑体"/>
          <w:sz w:val="21"/>
          <w:lang w:val="en-US" w:eastAsia="zh-CN"/>
        </w:rPr>
      </w:pPr>
      <w:r>
        <w:rPr>
          <w:rFonts w:hint="eastAsia" w:ascii="黑体" w:eastAsia="黑体"/>
          <w:sz w:val="21"/>
          <w:lang w:val="en-US" w:eastAsia="zh-CN"/>
        </w:rPr>
        <w:t>容缺</w:t>
      </w:r>
    </w:p>
    <w:p>
      <w:pPr>
        <w:pStyle w:val="8"/>
        <w:numPr>
          <w:ilvl w:val="4"/>
          <w:numId w:val="1"/>
        </w:numPr>
        <w:tabs>
          <w:tab w:val="left" w:pos="1513"/>
          <w:tab w:val="left" w:pos="1514"/>
        </w:tabs>
        <w:spacing w:before="0" w:after="0" w:line="278" w:lineRule="auto"/>
        <w:ind w:left="358" w:right="406" w:firstLine="0"/>
        <w:jc w:val="left"/>
        <w:rPr>
          <w:rFonts w:hint="eastAsia"/>
          <w:spacing w:val="-3"/>
          <w:sz w:val="21"/>
          <w:lang w:val="en-US" w:eastAsia="zh-CN"/>
        </w:rPr>
      </w:pPr>
      <w:r>
        <w:rPr>
          <w:rFonts w:hint="eastAsia"/>
          <w:spacing w:val="-3"/>
          <w:sz w:val="21"/>
          <w:lang w:val="en-US" w:eastAsia="zh-CN"/>
        </w:rPr>
        <w:t>申请人在办理企业设立登记业务时，基本审批条件具备，申请事项中主要材料齐全、符合法定形式，缺少非主要材料或材料存在部分缺陷、瑕疵的，可自愿申请“容缺受理”。</w:t>
      </w:r>
    </w:p>
    <w:p>
      <w:pPr>
        <w:pStyle w:val="8"/>
        <w:numPr>
          <w:ilvl w:val="4"/>
          <w:numId w:val="1"/>
        </w:numPr>
        <w:tabs>
          <w:tab w:val="left" w:pos="1513"/>
          <w:tab w:val="left" w:pos="1514"/>
        </w:tabs>
        <w:spacing w:before="0" w:after="0" w:line="278" w:lineRule="auto"/>
        <w:ind w:left="358" w:right="406" w:firstLine="0"/>
        <w:jc w:val="left"/>
        <w:rPr>
          <w:rFonts w:hint="eastAsia"/>
          <w:spacing w:val="-3"/>
          <w:sz w:val="21"/>
          <w:lang w:val="en-US" w:eastAsia="zh-CN"/>
        </w:rPr>
      </w:pPr>
      <w:r>
        <w:rPr>
          <w:spacing w:val="-3"/>
          <w:sz w:val="21"/>
        </w:rPr>
        <w:t>开办企业实施机关</w:t>
      </w:r>
      <w:r>
        <w:rPr>
          <w:rFonts w:hint="eastAsia"/>
          <w:spacing w:val="-3"/>
          <w:sz w:val="21"/>
          <w:lang w:val="en-US" w:eastAsia="zh-CN"/>
        </w:rPr>
        <w:t>实施“容缺受理”时，应一次性告知需补正的内容、承诺时限及承诺超期处置。</w:t>
      </w:r>
    </w:p>
    <w:p>
      <w:pPr>
        <w:pStyle w:val="8"/>
        <w:numPr>
          <w:ilvl w:val="4"/>
          <w:numId w:val="1"/>
        </w:numPr>
        <w:tabs>
          <w:tab w:val="left" w:pos="1513"/>
          <w:tab w:val="left" w:pos="1514"/>
        </w:tabs>
        <w:spacing w:before="0" w:after="0" w:line="278" w:lineRule="auto"/>
        <w:ind w:left="358" w:right="406" w:firstLine="0"/>
        <w:jc w:val="left"/>
        <w:rPr>
          <w:rFonts w:hint="eastAsia"/>
          <w:spacing w:val="-3"/>
          <w:sz w:val="21"/>
          <w:lang w:val="en-US" w:eastAsia="zh-CN"/>
        </w:rPr>
      </w:pPr>
      <w:r>
        <w:rPr>
          <w:rFonts w:hint="eastAsia"/>
          <w:spacing w:val="-3"/>
          <w:sz w:val="21"/>
          <w:lang w:val="en-US" w:eastAsia="zh-CN"/>
        </w:rPr>
        <w:t>申请人做出容缺书面承诺后，</w:t>
      </w:r>
      <w:r>
        <w:rPr>
          <w:spacing w:val="-3"/>
          <w:sz w:val="21"/>
        </w:rPr>
        <w:t>开办企业实施机关</w:t>
      </w:r>
      <w:r>
        <w:rPr>
          <w:rFonts w:hint="eastAsia"/>
          <w:spacing w:val="-3"/>
          <w:sz w:val="21"/>
          <w:lang w:eastAsia="zh-CN"/>
        </w:rPr>
        <w:t>应予受理，出具“容缺受理”补正材料通知书。</w:t>
      </w:r>
    </w:p>
    <w:p>
      <w:pPr>
        <w:pStyle w:val="4"/>
        <w:spacing w:before="11"/>
        <w:rPr>
          <w:rFonts w:hint="default" w:eastAsia="宋体"/>
          <w:sz w:val="9"/>
          <w:lang w:val="en-US" w:eastAsia="zh-CN"/>
        </w:rPr>
      </w:pPr>
    </w:p>
    <w:p>
      <w:pPr>
        <w:pStyle w:val="8"/>
        <w:numPr>
          <w:ilvl w:val="1"/>
          <w:numId w:val="2"/>
        </w:numPr>
        <w:tabs>
          <w:tab w:val="left" w:pos="884"/>
          <w:tab w:val="left" w:pos="885"/>
        </w:tabs>
        <w:spacing w:before="72" w:after="0" w:line="240" w:lineRule="auto"/>
        <w:ind w:left="884" w:right="0" w:hanging="52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审查与决定</w:t>
      </w:r>
    </w:p>
    <w:p>
      <w:pPr>
        <w:pStyle w:val="4"/>
        <w:spacing w:before="12"/>
        <w:rPr>
          <w:rFonts w:ascii="黑体"/>
          <w:sz w:val="9"/>
        </w:rPr>
      </w:pPr>
    </w:p>
    <w:p>
      <w:pPr>
        <w:pStyle w:val="8"/>
        <w:numPr>
          <w:ilvl w:val="2"/>
          <w:numId w:val="2"/>
        </w:numPr>
        <w:tabs>
          <w:tab w:val="left" w:pos="1093"/>
          <w:tab w:val="left" w:pos="1094"/>
        </w:tabs>
        <w:spacing w:before="72" w:after="0" w:line="240" w:lineRule="auto"/>
        <w:ind w:left="1093" w:right="0" w:hanging="736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z w:val="21"/>
        </w:rPr>
        <w:t>审查</w:t>
      </w:r>
    </w:p>
    <w:p>
      <w:pPr>
        <w:pStyle w:val="4"/>
        <w:spacing w:before="6"/>
        <w:rPr>
          <w:rFonts w:ascii="黑体"/>
          <w:sz w:val="15"/>
        </w:rPr>
      </w:pP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0" w:after="0" w:line="240" w:lineRule="auto"/>
        <w:ind w:left="1304" w:right="0" w:hanging="94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审查实施</w:t>
      </w:r>
    </w:p>
    <w:p>
      <w:pPr>
        <w:pStyle w:val="4"/>
        <w:spacing w:before="7"/>
        <w:rPr>
          <w:rFonts w:ascii="黑体"/>
          <w:sz w:val="15"/>
        </w:rPr>
      </w:pP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43" w:after="0" w:line="278" w:lineRule="auto"/>
        <w:ind w:left="358" w:right="406" w:firstLine="0"/>
        <w:jc w:val="left"/>
        <w:rPr>
          <w:spacing w:val="-3"/>
          <w:sz w:val="21"/>
        </w:rPr>
      </w:pPr>
      <w:r>
        <w:rPr>
          <w:spacing w:val="-3"/>
          <w:sz w:val="21"/>
        </w:rPr>
        <w:t>开办企业实施机关应按照企业开办</w:t>
      </w:r>
      <w:r>
        <w:rPr>
          <w:rFonts w:hint="eastAsia"/>
          <w:spacing w:val="-3"/>
          <w:sz w:val="21"/>
          <w:lang w:eastAsia="zh-CN"/>
        </w:rPr>
        <w:t>“一件事”办理</w:t>
      </w:r>
      <w:r>
        <w:rPr>
          <w:spacing w:val="-3"/>
          <w:sz w:val="21"/>
        </w:rPr>
        <w:t>流程</w:t>
      </w:r>
      <w:r>
        <w:rPr>
          <w:rFonts w:hint="eastAsia"/>
          <w:spacing w:val="-3"/>
          <w:sz w:val="21"/>
          <w:lang w:eastAsia="zh-CN"/>
        </w:rPr>
        <w:t>，</w:t>
      </w:r>
      <w:r>
        <w:rPr>
          <w:spacing w:val="-3"/>
          <w:sz w:val="21"/>
        </w:rPr>
        <w:t>以及国家相关规定进行审查，实行“一套材料、一次采集，</w:t>
      </w:r>
      <w:r>
        <w:rPr>
          <w:rFonts w:hint="eastAsia"/>
          <w:spacing w:val="-3"/>
          <w:sz w:val="21"/>
          <w:lang w:eastAsia="zh-CN"/>
        </w:rPr>
        <w:t>数据</w:t>
      </w:r>
      <w:r>
        <w:rPr>
          <w:spacing w:val="-3"/>
          <w:sz w:val="21"/>
        </w:rPr>
        <w:t>共享，</w:t>
      </w:r>
      <w:r>
        <w:rPr>
          <w:rFonts w:hint="eastAsia"/>
          <w:spacing w:val="-3"/>
          <w:sz w:val="21"/>
          <w:lang w:eastAsia="zh-CN"/>
        </w:rPr>
        <w:t>一</w:t>
      </w:r>
      <w:r>
        <w:rPr>
          <w:spacing w:val="-3"/>
          <w:sz w:val="21"/>
        </w:rPr>
        <w:t xml:space="preserve">网通办”，避免重复提交材料、重复审查。 </w:t>
      </w: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43" w:after="0" w:line="278" w:lineRule="auto"/>
        <w:ind w:left="358" w:right="406" w:firstLine="0"/>
        <w:jc w:val="left"/>
        <w:rPr>
          <w:spacing w:val="-3"/>
          <w:sz w:val="21"/>
        </w:rPr>
      </w:pPr>
      <w:r>
        <w:rPr>
          <w:spacing w:val="-3"/>
          <w:sz w:val="21"/>
        </w:rPr>
        <w:t xml:space="preserve">申请人通过网上提交申请的，审查人员在线审查；申请人前往政务服务场所企业开办“一窗通办”窗口，现场提交申请的，审查人员依规进行审查。 </w:t>
      </w: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43" w:after="0" w:line="278" w:lineRule="auto"/>
        <w:ind w:left="358" w:right="406" w:firstLine="0"/>
        <w:jc w:val="left"/>
        <w:rPr>
          <w:spacing w:val="-3"/>
          <w:sz w:val="21"/>
        </w:rPr>
      </w:pPr>
      <w:r>
        <w:rPr>
          <w:spacing w:val="-3"/>
          <w:sz w:val="21"/>
        </w:rPr>
        <w:t xml:space="preserve">登记事项中涉及国家秘密、商业秘密或者个人隐私的，按有关规定办理。 </w:t>
      </w:r>
    </w:p>
    <w:p>
      <w:pPr>
        <w:pStyle w:val="4"/>
        <w:spacing w:before="7"/>
        <w:rPr>
          <w:sz w:val="15"/>
        </w:rPr>
      </w:pP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0" w:after="0" w:line="240" w:lineRule="auto"/>
        <w:ind w:left="1304" w:right="0" w:hanging="94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审查要求</w:t>
      </w: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43" w:after="0" w:line="278" w:lineRule="auto"/>
        <w:ind w:left="358" w:right="406" w:firstLine="0"/>
        <w:jc w:val="left"/>
        <w:rPr>
          <w:spacing w:val="-3"/>
          <w:sz w:val="21"/>
        </w:rPr>
      </w:pP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43" w:after="0" w:line="278" w:lineRule="auto"/>
        <w:ind w:left="358" w:right="406" w:firstLine="0"/>
        <w:jc w:val="left"/>
        <w:rPr>
          <w:spacing w:val="-3"/>
          <w:sz w:val="21"/>
        </w:rPr>
      </w:pPr>
      <w:r>
        <w:rPr>
          <w:spacing w:val="-3"/>
          <w:sz w:val="21"/>
        </w:rPr>
        <w:t>申请人通过</w:t>
      </w:r>
      <w:r>
        <w:rPr>
          <w:rFonts w:hint="eastAsia"/>
          <w:spacing w:val="-3"/>
          <w:sz w:val="21"/>
          <w:lang w:eastAsia="zh-CN"/>
        </w:rPr>
        <w:t>“一窗通”</w:t>
      </w:r>
      <w:r>
        <w:rPr>
          <w:spacing w:val="-3"/>
          <w:sz w:val="21"/>
        </w:rPr>
        <w:t>或“营商通”提交开办申请，开办企业实施机关应按</w:t>
      </w:r>
      <w:r>
        <w:rPr>
          <w:rFonts w:hint="eastAsia"/>
          <w:spacing w:val="-3"/>
          <w:sz w:val="21"/>
          <w:lang w:eastAsia="zh-CN"/>
        </w:rPr>
        <w:t>“小时办”</w:t>
      </w:r>
      <w:r>
        <w:rPr>
          <w:spacing w:val="-3"/>
          <w:sz w:val="21"/>
        </w:rPr>
        <w:t>时限要求完成审查</w:t>
      </w:r>
      <w:r>
        <w:rPr>
          <w:rFonts w:hint="eastAsia"/>
          <w:spacing w:val="-3"/>
          <w:sz w:val="21"/>
          <w:lang w:eastAsia="zh-CN"/>
        </w:rPr>
        <w:t>，确保</w:t>
      </w:r>
      <w:r>
        <w:rPr>
          <w:spacing w:val="-3"/>
          <w:sz w:val="21"/>
        </w:rPr>
        <w:t>企业开办全环节、全流程4</w:t>
      </w:r>
      <w:r>
        <w:rPr>
          <w:rFonts w:hint="eastAsia"/>
          <w:spacing w:val="-3"/>
          <w:sz w:val="21"/>
          <w:lang w:eastAsia="zh-CN"/>
        </w:rPr>
        <w:t>个工作</w:t>
      </w:r>
      <w:r>
        <w:rPr>
          <w:spacing w:val="-3"/>
          <w:sz w:val="21"/>
        </w:rPr>
        <w:t>小时内完成。</w:t>
      </w:r>
      <w:r>
        <w:rPr>
          <w:rFonts w:hint="eastAsia"/>
          <w:spacing w:val="-3"/>
          <w:sz w:val="21"/>
          <w:lang w:eastAsia="zh-CN"/>
        </w:rPr>
        <w:t>申请人通过</w:t>
      </w:r>
      <w:r>
        <w:rPr>
          <w:spacing w:val="-3"/>
          <w:sz w:val="21"/>
        </w:rPr>
        <w:t>“营商通”掌上服务平台</w:t>
      </w:r>
      <w:r>
        <w:rPr>
          <w:rFonts w:hint="eastAsia"/>
          <w:spacing w:val="-3"/>
          <w:sz w:val="21"/>
          <w:lang w:eastAsia="zh-CN"/>
        </w:rPr>
        <w:t>勾选银行开户的</w:t>
      </w:r>
      <w:r>
        <w:rPr>
          <w:spacing w:val="-3"/>
          <w:sz w:val="21"/>
        </w:rPr>
        <w:t>，</w:t>
      </w:r>
      <w:r>
        <w:rPr>
          <w:rFonts w:hint="eastAsia"/>
          <w:spacing w:val="-3"/>
          <w:sz w:val="21"/>
          <w:lang w:eastAsia="zh-CN"/>
        </w:rPr>
        <w:t>应当</w:t>
      </w:r>
      <w:r>
        <w:rPr>
          <w:spacing w:val="-3"/>
          <w:sz w:val="21"/>
        </w:rPr>
        <w:t>依申请人的选择同步完成银行开户预约</w:t>
      </w:r>
      <w:r>
        <w:rPr>
          <w:rFonts w:hint="eastAsia"/>
          <w:spacing w:val="-3"/>
          <w:sz w:val="21"/>
          <w:lang w:eastAsia="zh-CN"/>
        </w:rPr>
        <w:t>。</w:t>
      </w: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43" w:after="0" w:line="278" w:lineRule="auto"/>
        <w:ind w:left="358" w:right="406" w:firstLine="0"/>
        <w:jc w:val="left"/>
        <w:rPr>
          <w:spacing w:val="-3"/>
          <w:sz w:val="21"/>
        </w:rPr>
      </w:pPr>
      <w:r>
        <w:rPr>
          <w:spacing w:val="-3"/>
          <w:sz w:val="21"/>
        </w:rPr>
        <w:t>开办企业实施机关应在规定的时间内,对申请人提交的申请材料是否齐全、是否符合法定形式进行审查。</w:t>
      </w:r>
      <w:r>
        <w:rPr>
          <w:rFonts w:hint="eastAsia"/>
          <w:spacing w:val="-3"/>
          <w:sz w:val="21"/>
          <w:lang w:eastAsia="zh-CN"/>
        </w:rPr>
        <w:t>按照“容缺受理”方式受理的，对</w:t>
      </w:r>
      <w:r>
        <w:rPr>
          <w:rFonts w:hint="eastAsia"/>
          <w:spacing w:val="-3"/>
          <w:sz w:val="21"/>
          <w:lang w:val="en-US" w:eastAsia="zh-CN"/>
        </w:rPr>
        <w:t>主要材料是否齐全、是否符合法定形式进行审查。</w:t>
      </w:r>
    </w:p>
    <w:p>
      <w:pPr>
        <w:pStyle w:val="4"/>
        <w:spacing w:before="6"/>
        <w:rPr>
          <w:sz w:val="15"/>
        </w:rPr>
      </w:pPr>
    </w:p>
    <w:p>
      <w:pPr>
        <w:pStyle w:val="8"/>
        <w:numPr>
          <w:ilvl w:val="2"/>
          <w:numId w:val="2"/>
        </w:numPr>
        <w:tabs>
          <w:tab w:val="left" w:pos="1094"/>
        </w:tabs>
        <w:spacing w:before="0" w:after="0" w:line="240" w:lineRule="auto"/>
        <w:ind w:left="1093" w:right="0" w:hanging="736"/>
        <w:jc w:val="both"/>
        <w:rPr>
          <w:rFonts w:hint="eastAsia" w:ascii="黑体" w:eastAsia="黑体"/>
          <w:sz w:val="21"/>
        </w:rPr>
      </w:pPr>
      <w:r>
        <w:rPr>
          <w:rFonts w:hint="eastAsia" w:ascii="黑体" w:eastAsia="黑体"/>
          <w:sz w:val="21"/>
        </w:rPr>
        <w:t>决定</w:t>
      </w:r>
    </w:p>
    <w:p>
      <w:pPr>
        <w:pStyle w:val="4"/>
        <w:spacing w:before="7"/>
        <w:rPr>
          <w:rFonts w:ascii="宋体" w:hAnsi="宋体" w:eastAsia="宋体" w:cs="宋体"/>
          <w:spacing w:val="-3"/>
          <w:sz w:val="21"/>
          <w:szCs w:val="22"/>
          <w:lang w:val="ca-ES" w:eastAsia="ca-ES" w:bidi="ca-ES"/>
        </w:rPr>
      </w:pP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0" w:after="0" w:line="240" w:lineRule="auto"/>
        <w:ind w:left="1304" w:right="0" w:hanging="947"/>
        <w:jc w:val="left"/>
        <w:rPr>
          <w:rFonts w:ascii="宋体" w:hAnsi="宋体" w:eastAsia="宋体" w:cs="宋体"/>
          <w:spacing w:val="-3"/>
          <w:sz w:val="21"/>
          <w:szCs w:val="22"/>
          <w:lang w:val="ca-ES" w:eastAsia="ca-ES" w:bidi="ca-ES"/>
        </w:rPr>
      </w:pPr>
      <w:r>
        <w:rPr>
          <w:rFonts w:ascii="宋体" w:hAnsi="宋体" w:eastAsia="宋体" w:cs="宋体"/>
          <w:spacing w:val="-3"/>
          <w:sz w:val="21"/>
          <w:szCs w:val="22"/>
          <w:lang w:val="ca-ES" w:eastAsia="ca-ES" w:bidi="ca-ES"/>
        </w:rPr>
        <w:t>经审查符合法定条件的，开办企业实施机关应即时依法作出</w:t>
      </w:r>
      <w:r>
        <w:rPr>
          <w:rFonts w:hint="eastAsia" w:cs="宋体"/>
          <w:spacing w:val="-3"/>
          <w:sz w:val="21"/>
          <w:szCs w:val="22"/>
          <w:lang w:val="ca-ES" w:eastAsia="zh-CN" w:bidi="ca-ES"/>
        </w:rPr>
        <w:t>同意</w:t>
      </w:r>
      <w:r>
        <w:rPr>
          <w:rFonts w:hint="eastAsia" w:ascii="宋体" w:hAnsi="宋体" w:eastAsia="宋体" w:cs="宋体"/>
          <w:spacing w:val="-3"/>
          <w:sz w:val="21"/>
          <w:szCs w:val="22"/>
          <w:lang w:val="ca-ES" w:eastAsia="zh-CN" w:bidi="ca-ES"/>
        </w:rPr>
        <w:t>登记</w:t>
      </w:r>
      <w:r>
        <w:rPr>
          <w:rFonts w:ascii="宋体" w:hAnsi="宋体" w:eastAsia="宋体" w:cs="宋体"/>
          <w:spacing w:val="-3"/>
          <w:sz w:val="21"/>
          <w:szCs w:val="22"/>
          <w:lang w:val="ca-ES" w:eastAsia="ca-ES" w:bidi="ca-ES"/>
        </w:rPr>
        <w:t>的决定。</w:t>
      </w: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0" w:after="0" w:line="240" w:lineRule="auto"/>
        <w:ind w:left="1304" w:right="0" w:hanging="947"/>
        <w:jc w:val="left"/>
        <w:rPr>
          <w:sz w:val="21"/>
        </w:rPr>
      </w:pPr>
      <w:r>
        <w:rPr>
          <w:rFonts w:ascii="宋体" w:hAnsi="宋体" w:eastAsia="宋体" w:cs="宋体"/>
          <w:spacing w:val="-3"/>
          <w:sz w:val="21"/>
          <w:szCs w:val="22"/>
          <w:lang w:val="ca-ES" w:eastAsia="ca-ES" w:bidi="ca-ES"/>
        </w:rPr>
        <w:t>经审查符合</w:t>
      </w:r>
      <w:r>
        <w:rPr>
          <w:rFonts w:hint="eastAsia" w:ascii="宋体" w:hAnsi="宋体" w:eastAsia="宋体" w:cs="宋体"/>
          <w:spacing w:val="-3"/>
          <w:sz w:val="21"/>
          <w:szCs w:val="22"/>
          <w:lang w:val="ca-ES" w:eastAsia="zh-CN" w:bidi="ca-ES"/>
        </w:rPr>
        <w:t>容缺办理</w:t>
      </w:r>
      <w:r>
        <w:rPr>
          <w:rFonts w:ascii="宋体" w:hAnsi="宋体" w:eastAsia="宋体" w:cs="宋体"/>
          <w:spacing w:val="-3"/>
          <w:sz w:val="21"/>
          <w:szCs w:val="22"/>
          <w:lang w:val="ca-ES" w:eastAsia="ca-ES" w:bidi="ca-ES"/>
        </w:rPr>
        <w:t>条件的</w:t>
      </w:r>
      <w:r>
        <w:rPr>
          <w:rFonts w:hint="eastAsia" w:ascii="宋体" w:hAnsi="宋体" w:eastAsia="宋体" w:cs="宋体"/>
          <w:spacing w:val="-3"/>
          <w:sz w:val="21"/>
          <w:szCs w:val="22"/>
          <w:lang w:val="ca-ES" w:eastAsia="zh-CN" w:bidi="ca-ES"/>
        </w:rPr>
        <w:t>，</w:t>
      </w:r>
      <w:r>
        <w:rPr>
          <w:rFonts w:ascii="宋体" w:hAnsi="宋体" w:eastAsia="宋体" w:cs="宋体"/>
          <w:spacing w:val="-3"/>
          <w:sz w:val="21"/>
          <w:szCs w:val="22"/>
          <w:lang w:val="ca-ES" w:eastAsia="ca-ES" w:bidi="ca-ES"/>
        </w:rPr>
        <w:t>开办企业实施机关</w:t>
      </w:r>
      <w:r>
        <w:rPr>
          <w:rFonts w:hint="eastAsia" w:ascii="宋体" w:hAnsi="宋体" w:eastAsia="宋体" w:cs="宋体"/>
          <w:spacing w:val="-3"/>
          <w:sz w:val="21"/>
          <w:szCs w:val="22"/>
          <w:lang w:val="ca-ES" w:eastAsia="zh-CN" w:bidi="ca-ES"/>
        </w:rPr>
        <w:t>可</w:t>
      </w:r>
      <w:r>
        <w:rPr>
          <w:rFonts w:ascii="宋体" w:hAnsi="宋体" w:eastAsia="宋体" w:cs="宋体"/>
          <w:spacing w:val="-3"/>
          <w:sz w:val="21"/>
          <w:szCs w:val="22"/>
          <w:lang w:val="ca-ES" w:eastAsia="ca-ES" w:bidi="ca-ES"/>
        </w:rPr>
        <w:t>即时作出</w:t>
      </w:r>
      <w:r>
        <w:rPr>
          <w:rFonts w:hint="eastAsia" w:cs="宋体"/>
          <w:spacing w:val="-3"/>
          <w:sz w:val="21"/>
          <w:szCs w:val="22"/>
          <w:lang w:val="ca-ES" w:eastAsia="zh-CN" w:bidi="ca-ES"/>
        </w:rPr>
        <w:t>同意</w:t>
      </w:r>
      <w:r>
        <w:rPr>
          <w:rFonts w:hint="eastAsia" w:ascii="宋体" w:hAnsi="宋体" w:eastAsia="宋体" w:cs="宋体"/>
          <w:spacing w:val="-3"/>
          <w:sz w:val="21"/>
          <w:szCs w:val="22"/>
          <w:lang w:val="ca-ES" w:eastAsia="zh-CN" w:bidi="ca-ES"/>
        </w:rPr>
        <w:t>登记</w:t>
      </w:r>
      <w:r>
        <w:rPr>
          <w:rFonts w:ascii="宋体" w:hAnsi="宋体" w:eastAsia="宋体" w:cs="宋体"/>
          <w:spacing w:val="-3"/>
          <w:sz w:val="21"/>
          <w:szCs w:val="22"/>
          <w:lang w:val="ca-ES" w:eastAsia="ca-ES" w:bidi="ca-ES"/>
        </w:rPr>
        <w:t>的决定</w:t>
      </w:r>
      <w:r>
        <w:rPr>
          <w:rFonts w:hint="eastAsia" w:ascii="宋体" w:hAnsi="宋体" w:eastAsia="宋体" w:cs="宋体"/>
          <w:spacing w:val="-3"/>
          <w:sz w:val="21"/>
          <w:szCs w:val="22"/>
          <w:lang w:val="ca-ES" w:eastAsia="zh-CN" w:bidi="ca-ES"/>
        </w:rPr>
        <w:t>。</w:t>
      </w: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43" w:after="0" w:line="278" w:lineRule="auto"/>
        <w:ind w:left="358" w:right="406" w:firstLine="0"/>
        <w:jc w:val="left"/>
        <w:rPr>
          <w:sz w:val="21"/>
        </w:rPr>
      </w:pPr>
      <w:r>
        <w:rPr>
          <w:spacing w:val="-3"/>
          <w:sz w:val="21"/>
        </w:rPr>
        <w:t>经审查不符合法定条件、且不能补正齐全的，开办企业实施机关依法作出不予</w:t>
      </w:r>
      <w:r>
        <w:rPr>
          <w:rFonts w:hint="eastAsia"/>
          <w:spacing w:val="-3"/>
          <w:sz w:val="21"/>
          <w:lang w:eastAsia="zh-CN"/>
        </w:rPr>
        <w:t>登记</w:t>
      </w:r>
      <w:r>
        <w:rPr>
          <w:spacing w:val="-3"/>
          <w:sz w:val="21"/>
        </w:rPr>
        <w:t>的决定，并说明理由，同时告知申请人享有依法申请行政复议或者提起行政诉讼的权利。</w:t>
      </w: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43" w:after="0" w:line="278" w:lineRule="auto"/>
        <w:ind w:left="358" w:right="406" w:firstLine="0"/>
        <w:jc w:val="left"/>
        <w:rPr>
          <w:sz w:val="21"/>
        </w:rPr>
      </w:pPr>
      <w:r>
        <w:rPr>
          <w:rFonts w:hint="eastAsia" w:cs="宋体"/>
          <w:spacing w:val="-3"/>
          <w:sz w:val="21"/>
          <w:szCs w:val="22"/>
          <w:lang w:val="ca-ES" w:eastAsia="zh-CN" w:bidi="ca-ES"/>
        </w:rPr>
        <w:t>通过“一窗通”平台适时推送企业开办信息的，</w:t>
      </w:r>
      <w:r>
        <w:rPr>
          <w:rFonts w:ascii="宋体" w:hAnsi="宋体" w:eastAsia="宋体" w:cs="宋体"/>
          <w:spacing w:val="-3"/>
          <w:sz w:val="21"/>
          <w:szCs w:val="22"/>
          <w:lang w:val="ca-ES" w:eastAsia="ca-ES" w:bidi="ca-ES"/>
        </w:rPr>
        <w:t>开办企业实施机关</w:t>
      </w:r>
      <w:r>
        <w:rPr>
          <w:rFonts w:hint="eastAsia" w:cs="宋体"/>
          <w:spacing w:val="-3"/>
          <w:sz w:val="21"/>
          <w:szCs w:val="22"/>
          <w:lang w:val="ca-ES" w:eastAsia="zh-CN" w:bidi="ca-ES"/>
        </w:rPr>
        <w:t>各相关单位要在规定时限内对信息数据进行认领、处理和反馈。</w:t>
      </w: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43" w:after="0" w:line="278" w:lineRule="auto"/>
        <w:ind w:left="358" w:right="406" w:firstLine="0"/>
        <w:jc w:val="left"/>
        <w:rPr>
          <w:sz w:val="21"/>
        </w:rPr>
      </w:pPr>
      <w:r>
        <w:rPr>
          <w:rFonts w:ascii="宋体" w:hAnsi="宋体" w:eastAsia="宋体" w:cs="宋体"/>
          <w:spacing w:val="-3"/>
          <w:sz w:val="21"/>
          <w:szCs w:val="22"/>
          <w:lang w:val="ca-ES" w:eastAsia="ca-ES" w:bidi="ca-ES"/>
        </w:rPr>
        <w:t>开办企业实施机关</w:t>
      </w:r>
      <w:r>
        <w:rPr>
          <w:rFonts w:hint="eastAsia" w:cs="宋体"/>
          <w:spacing w:val="-3"/>
          <w:sz w:val="21"/>
          <w:szCs w:val="22"/>
          <w:lang w:val="ca-ES" w:eastAsia="zh-CN" w:bidi="ca-ES"/>
        </w:rPr>
        <w:t>相关部门应提供免费发放税务</w:t>
      </w:r>
      <w:r>
        <w:rPr>
          <w:rFonts w:hint="eastAsia" w:cs="宋体"/>
          <w:spacing w:val="-3"/>
          <w:sz w:val="21"/>
          <w:szCs w:val="22"/>
          <w:lang w:val="en-US" w:eastAsia="zh-CN" w:bidi="ca-ES"/>
        </w:rPr>
        <w:t>Ukey、免费刻制印章及免费寄递服务。</w:t>
      </w:r>
    </w:p>
    <w:p>
      <w:pPr>
        <w:pStyle w:val="8"/>
        <w:numPr>
          <w:ilvl w:val="3"/>
          <w:numId w:val="2"/>
        </w:numPr>
        <w:tabs>
          <w:tab w:val="left" w:pos="1304"/>
          <w:tab w:val="left" w:pos="1305"/>
        </w:tabs>
        <w:spacing w:before="43" w:after="0" w:line="278" w:lineRule="auto"/>
        <w:ind w:left="358" w:right="406" w:firstLine="0"/>
        <w:jc w:val="left"/>
        <w:rPr>
          <w:spacing w:val="-3"/>
          <w:sz w:val="21"/>
        </w:rPr>
      </w:pPr>
      <w:r>
        <w:rPr>
          <w:spacing w:val="-3"/>
          <w:sz w:val="21"/>
        </w:rPr>
        <w:t>开办企业实施机关</w:t>
      </w:r>
      <w:r>
        <w:rPr>
          <w:rFonts w:hint="eastAsia" w:cs="宋体"/>
          <w:spacing w:val="-3"/>
          <w:sz w:val="21"/>
          <w:szCs w:val="22"/>
          <w:lang w:val="ca-ES" w:eastAsia="zh-CN" w:bidi="ca-ES"/>
        </w:rPr>
        <w:t>相关部门</w:t>
      </w:r>
      <w:r>
        <w:rPr>
          <w:spacing w:val="-3"/>
          <w:sz w:val="21"/>
        </w:rPr>
        <w:t>作出</w:t>
      </w:r>
      <w:r>
        <w:rPr>
          <w:rFonts w:hint="eastAsia"/>
          <w:spacing w:val="-3"/>
          <w:sz w:val="21"/>
          <w:lang w:eastAsia="zh-CN"/>
        </w:rPr>
        <w:t>同意登记</w:t>
      </w:r>
      <w:r>
        <w:rPr>
          <w:spacing w:val="-3"/>
          <w:sz w:val="21"/>
        </w:rPr>
        <w:t>决定后，</w:t>
      </w:r>
      <w:r>
        <w:rPr>
          <w:rFonts w:hint="eastAsia"/>
          <w:spacing w:val="-3"/>
          <w:sz w:val="21"/>
          <w:lang w:eastAsia="zh-CN"/>
        </w:rPr>
        <w:t>应</w:t>
      </w:r>
      <w:r>
        <w:rPr>
          <w:spacing w:val="-3"/>
          <w:sz w:val="21"/>
        </w:rPr>
        <w:t>按照政务公开规定予以公开</w:t>
      </w:r>
      <w:r>
        <w:rPr>
          <w:rFonts w:hint="eastAsia"/>
          <w:spacing w:val="-3"/>
          <w:sz w:val="21"/>
          <w:lang w:eastAsia="zh-CN"/>
        </w:rPr>
        <w:t>。</w:t>
      </w:r>
    </w:p>
    <w:p>
      <w:pPr>
        <w:pStyle w:val="8"/>
        <w:numPr>
          <w:ilvl w:val="0"/>
          <w:numId w:val="0"/>
        </w:numPr>
        <w:tabs>
          <w:tab w:val="left" w:pos="1304"/>
          <w:tab w:val="left" w:pos="1305"/>
        </w:tabs>
        <w:spacing w:before="0" w:after="0" w:line="240" w:lineRule="auto"/>
        <w:ind w:left="357" w:leftChars="0" w:right="0" w:rightChars="0"/>
        <w:jc w:val="left"/>
        <w:rPr>
          <w:sz w:val="21"/>
        </w:rPr>
      </w:pPr>
    </w:p>
    <w:p>
      <w:pPr>
        <w:pStyle w:val="8"/>
        <w:numPr>
          <w:ilvl w:val="2"/>
          <w:numId w:val="2"/>
        </w:numPr>
        <w:tabs>
          <w:tab w:val="left" w:pos="1094"/>
        </w:tabs>
        <w:spacing w:before="0" w:after="0" w:line="240" w:lineRule="auto"/>
        <w:ind w:left="1093" w:right="0" w:hanging="736"/>
        <w:jc w:val="both"/>
        <w:rPr>
          <w:rFonts w:hint="eastAsia" w:ascii="黑体" w:eastAsia="黑体"/>
          <w:sz w:val="21"/>
        </w:rPr>
      </w:pPr>
      <w:r>
        <w:rPr>
          <w:rFonts w:hint="eastAsia" w:ascii="黑体" w:eastAsia="黑体"/>
          <w:sz w:val="21"/>
        </w:rPr>
        <w:t>归档</w:t>
      </w:r>
    </w:p>
    <w:p>
      <w:pPr>
        <w:pStyle w:val="8"/>
        <w:numPr>
          <w:ilvl w:val="0"/>
          <w:numId w:val="0"/>
        </w:numPr>
        <w:tabs>
          <w:tab w:val="left" w:pos="1304"/>
          <w:tab w:val="left" w:pos="1305"/>
        </w:tabs>
        <w:spacing w:before="43" w:after="0" w:line="278" w:lineRule="auto"/>
        <w:ind w:left="358" w:leftChars="0" w:right="406" w:rightChars="0" w:firstLine="408" w:firstLineChars="200"/>
        <w:jc w:val="left"/>
        <w:rPr>
          <w:rFonts w:hint="eastAsia"/>
          <w:spacing w:val="-3"/>
          <w:sz w:val="21"/>
        </w:rPr>
      </w:pPr>
      <w:r>
        <w:rPr>
          <w:rFonts w:hint="eastAsia"/>
          <w:spacing w:val="-3"/>
          <w:sz w:val="21"/>
          <w:lang w:eastAsia="zh-CN"/>
        </w:rPr>
        <w:t>开</w:t>
      </w:r>
      <w:r>
        <w:rPr>
          <w:rFonts w:hint="eastAsia"/>
          <w:spacing w:val="-3"/>
          <w:sz w:val="21"/>
        </w:rPr>
        <w:t>办企业实施机关</w:t>
      </w:r>
      <w:r>
        <w:rPr>
          <w:rFonts w:hint="eastAsia"/>
          <w:spacing w:val="-3"/>
          <w:sz w:val="21"/>
          <w:lang w:eastAsia="zh-CN"/>
        </w:rPr>
        <w:t>各相关部门</w:t>
      </w:r>
      <w:r>
        <w:rPr>
          <w:rFonts w:hint="eastAsia"/>
          <w:spacing w:val="-3"/>
          <w:sz w:val="21"/>
        </w:rPr>
        <w:t>实施企业开办的过程应有记录、可追溯，形成的纸质或电子材料应按档案管理要求进行归档、管理。</w:t>
      </w:r>
    </w:p>
    <w:p>
      <w:pPr>
        <w:pStyle w:val="4"/>
        <w:spacing w:before="11"/>
        <w:rPr>
          <w:sz w:val="27"/>
        </w:rPr>
      </w:pPr>
    </w:p>
    <w:p>
      <w:pPr>
        <w:pStyle w:val="8"/>
        <w:numPr>
          <w:ilvl w:val="0"/>
          <w:numId w:val="1"/>
        </w:numPr>
        <w:tabs>
          <w:tab w:val="left" w:pos="673"/>
          <w:tab w:val="left" w:pos="674"/>
        </w:tabs>
        <w:spacing w:before="1" w:after="0" w:line="240" w:lineRule="auto"/>
        <w:ind w:left="673" w:right="0" w:hanging="316"/>
        <w:jc w:val="left"/>
        <w:rPr>
          <w:rFonts w:hint="eastAsia" w:ascii="黑体" w:eastAsia="黑体"/>
          <w:sz w:val="21"/>
        </w:rPr>
      </w:pPr>
      <w:bookmarkStart w:id="9" w:name="_bookmark5"/>
      <w:bookmarkEnd w:id="9"/>
      <w:bookmarkStart w:id="10" w:name="_bookmark5"/>
      <w:bookmarkEnd w:id="10"/>
      <w:r>
        <w:rPr>
          <w:rFonts w:hint="eastAsia" w:ascii="黑体" w:eastAsia="黑体"/>
          <w:sz w:val="21"/>
        </w:rPr>
        <w:t>服务</w:t>
      </w:r>
    </w:p>
    <w:p>
      <w:pPr>
        <w:pStyle w:val="4"/>
        <w:spacing w:before="11"/>
        <w:rPr>
          <w:rFonts w:ascii="黑体"/>
        </w:rPr>
      </w:pPr>
    </w:p>
    <w:p>
      <w:pPr>
        <w:pStyle w:val="8"/>
        <w:numPr>
          <w:ilvl w:val="1"/>
          <w:numId w:val="1"/>
        </w:numPr>
        <w:tabs>
          <w:tab w:val="left" w:pos="884"/>
          <w:tab w:val="left" w:pos="885"/>
        </w:tabs>
        <w:spacing w:before="72" w:after="0" w:line="240" w:lineRule="auto"/>
        <w:ind w:left="884" w:right="0" w:hanging="52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基本要求</w:t>
      </w:r>
    </w:p>
    <w:p>
      <w:pPr>
        <w:pStyle w:val="4"/>
        <w:spacing w:before="12"/>
        <w:rPr>
          <w:rFonts w:ascii="黑体"/>
          <w:sz w:val="9"/>
        </w:rPr>
      </w:pPr>
    </w:p>
    <w:p>
      <w:pPr>
        <w:pStyle w:val="8"/>
        <w:numPr>
          <w:ilvl w:val="2"/>
          <w:numId w:val="1"/>
        </w:numPr>
        <w:tabs>
          <w:tab w:val="left" w:pos="1093"/>
          <w:tab w:val="left" w:pos="1094"/>
        </w:tabs>
        <w:spacing w:before="72" w:after="0" w:line="240" w:lineRule="auto"/>
        <w:ind w:left="1093" w:right="0" w:hanging="736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2"/>
          <w:sz w:val="21"/>
          <w:lang w:eastAsia="zh-CN"/>
        </w:rPr>
        <w:t>办事</w:t>
      </w:r>
      <w:r>
        <w:rPr>
          <w:rFonts w:hint="eastAsia" w:ascii="黑体" w:eastAsia="黑体"/>
          <w:spacing w:val="-2"/>
          <w:sz w:val="21"/>
        </w:rPr>
        <w:t>指南编制</w:t>
      </w:r>
    </w:p>
    <w:p>
      <w:pPr>
        <w:pStyle w:val="4"/>
        <w:spacing w:before="6"/>
        <w:rPr>
          <w:rFonts w:ascii="黑体"/>
          <w:sz w:val="15"/>
        </w:rPr>
      </w:pPr>
    </w:p>
    <w:p>
      <w:pPr>
        <w:pStyle w:val="8"/>
        <w:numPr>
          <w:ilvl w:val="3"/>
          <w:numId w:val="1"/>
        </w:numPr>
        <w:tabs>
          <w:tab w:val="left" w:pos="1305"/>
        </w:tabs>
        <w:spacing w:before="0" w:after="0" w:line="278" w:lineRule="auto"/>
        <w:ind w:left="358" w:right="406" w:firstLine="0"/>
        <w:jc w:val="both"/>
        <w:rPr>
          <w:sz w:val="21"/>
        </w:rPr>
      </w:pPr>
      <w:r>
        <w:rPr>
          <w:spacing w:val="-3"/>
          <w:sz w:val="21"/>
        </w:rPr>
        <w:t>开办企业实施机关应编制企业开办</w:t>
      </w:r>
      <w:r>
        <w:rPr>
          <w:rFonts w:hint="eastAsia"/>
          <w:spacing w:val="-3"/>
          <w:sz w:val="21"/>
          <w:lang w:eastAsia="zh-CN"/>
        </w:rPr>
        <w:t>一件事办事</w:t>
      </w:r>
      <w:r>
        <w:rPr>
          <w:spacing w:val="-3"/>
          <w:sz w:val="21"/>
        </w:rPr>
        <w:t>指南，在</w:t>
      </w:r>
      <w:r>
        <w:rPr>
          <w:rFonts w:hint="eastAsia"/>
          <w:spacing w:val="-3"/>
          <w:sz w:val="21"/>
          <w:lang w:eastAsia="zh-CN"/>
        </w:rPr>
        <w:t>四川</w:t>
      </w:r>
      <w:r>
        <w:rPr>
          <w:spacing w:val="-3"/>
          <w:sz w:val="21"/>
        </w:rPr>
        <w:t>政务服务网公开并提供文本下载</w:t>
      </w:r>
      <w:r>
        <w:rPr>
          <w:rFonts w:hint="eastAsia"/>
          <w:spacing w:val="-3"/>
          <w:sz w:val="21"/>
          <w:lang w:eastAsia="zh-CN"/>
        </w:rPr>
        <w:t>，同时</w:t>
      </w:r>
      <w:r>
        <w:rPr>
          <w:spacing w:val="-3"/>
          <w:sz w:val="21"/>
        </w:rPr>
        <w:t>放置于政务服务大厅（</w:t>
      </w:r>
      <w:r>
        <w:rPr>
          <w:spacing w:val="-2"/>
          <w:sz w:val="21"/>
        </w:rPr>
        <w:t>窗口</w:t>
      </w:r>
      <w:r>
        <w:rPr>
          <w:sz w:val="21"/>
        </w:rPr>
        <w:t>）</w:t>
      </w:r>
      <w:r>
        <w:rPr>
          <w:spacing w:val="-3"/>
          <w:sz w:val="21"/>
        </w:rPr>
        <w:t>，方便申请人取阅。</w:t>
      </w:r>
      <w:r>
        <w:rPr>
          <w:sz w:val="21"/>
        </w:rPr>
        <w:t xml:space="preserve"> </w:t>
      </w:r>
    </w:p>
    <w:p>
      <w:pPr>
        <w:pStyle w:val="8"/>
        <w:numPr>
          <w:ilvl w:val="3"/>
          <w:numId w:val="1"/>
        </w:numPr>
        <w:tabs>
          <w:tab w:val="left" w:pos="1305"/>
        </w:tabs>
        <w:spacing w:before="0" w:after="0" w:line="278" w:lineRule="auto"/>
        <w:ind w:left="358" w:right="406" w:firstLine="0"/>
        <w:jc w:val="both"/>
        <w:rPr>
          <w:sz w:val="21"/>
        </w:rPr>
      </w:pPr>
      <w:r>
        <w:rPr>
          <w:rFonts w:hint="eastAsia"/>
          <w:spacing w:val="-3"/>
          <w:sz w:val="21"/>
          <w:lang w:eastAsia="zh-CN"/>
        </w:rPr>
        <w:t>办事</w:t>
      </w:r>
      <w:r>
        <w:rPr>
          <w:spacing w:val="-3"/>
          <w:sz w:val="21"/>
        </w:rPr>
        <w:t>指南的主要内容应包括但不限于</w:t>
      </w:r>
      <w:r>
        <w:rPr>
          <w:rFonts w:hint="eastAsia"/>
          <w:spacing w:val="-3"/>
          <w:sz w:val="21"/>
          <w:lang w:eastAsia="zh-CN"/>
        </w:rPr>
        <w:t>适用范围、审批</w:t>
      </w:r>
      <w:r>
        <w:rPr>
          <w:spacing w:val="-3"/>
          <w:sz w:val="21"/>
        </w:rPr>
        <w:t>依据、申请材料、办理流程、</w:t>
      </w:r>
      <w:r>
        <w:rPr>
          <w:rFonts w:hint="eastAsia"/>
          <w:spacing w:val="-3"/>
          <w:sz w:val="21"/>
          <w:lang w:eastAsia="zh-CN"/>
        </w:rPr>
        <w:t>办理方式、办结时限、领取方式</w:t>
      </w:r>
      <w:r>
        <w:rPr>
          <w:spacing w:val="-3"/>
          <w:sz w:val="21"/>
        </w:rPr>
        <w:t>等。</w:t>
      </w:r>
      <w:r>
        <w:rPr>
          <w:rFonts w:hint="eastAsia"/>
          <w:spacing w:val="-3"/>
          <w:sz w:val="21"/>
          <w:lang w:eastAsia="zh-CN"/>
        </w:rPr>
        <w:t>办事</w:t>
      </w:r>
      <w:r>
        <w:rPr>
          <w:spacing w:val="-3"/>
          <w:sz w:val="21"/>
        </w:rPr>
        <w:t>指南应根据有关法律法规及时调整。</w:t>
      </w:r>
      <w:r>
        <w:rPr>
          <w:sz w:val="21"/>
        </w:rPr>
        <w:t xml:space="preserve"> </w:t>
      </w:r>
    </w:p>
    <w:p>
      <w:pPr>
        <w:pStyle w:val="8"/>
        <w:numPr>
          <w:ilvl w:val="2"/>
          <w:numId w:val="1"/>
        </w:numPr>
        <w:tabs>
          <w:tab w:val="left" w:pos="1093"/>
          <w:tab w:val="left" w:pos="1094"/>
        </w:tabs>
        <w:spacing w:before="156" w:after="0" w:line="240" w:lineRule="auto"/>
        <w:ind w:left="1093" w:right="0" w:hanging="736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流程图编制</w:t>
      </w:r>
    </w:p>
    <w:p>
      <w:pPr>
        <w:pStyle w:val="4"/>
        <w:spacing w:before="6"/>
        <w:rPr>
          <w:rFonts w:ascii="黑体"/>
          <w:sz w:val="15"/>
        </w:rPr>
      </w:pPr>
    </w:p>
    <w:p>
      <w:pPr>
        <w:pStyle w:val="4"/>
        <w:spacing w:before="1" w:line="278" w:lineRule="auto"/>
        <w:ind w:left="358" w:right="406" w:firstLine="420"/>
      </w:pPr>
      <w:r>
        <w:rPr>
          <w:spacing w:val="-8"/>
        </w:rPr>
        <w:t>开办企业实施机关应根据</w:t>
      </w:r>
      <w:r>
        <w:rPr>
          <w:spacing w:val="-3"/>
          <w:sz w:val="21"/>
        </w:rPr>
        <w:t>企业开办</w:t>
      </w:r>
      <w:r>
        <w:rPr>
          <w:rFonts w:hint="eastAsia"/>
          <w:spacing w:val="-3"/>
          <w:sz w:val="21"/>
          <w:lang w:eastAsia="zh-CN"/>
        </w:rPr>
        <w:t>一件事</w:t>
      </w:r>
      <w:r>
        <w:rPr>
          <w:rFonts w:hint="eastAsia"/>
          <w:spacing w:val="-8"/>
          <w:lang w:eastAsia="zh-CN"/>
        </w:rPr>
        <w:t>办理流程</w:t>
      </w:r>
      <w:r>
        <w:rPr>
          <w:spacing w:val="-8"/>
        </w:rPr>
        <w:t>，以</w:t>
      </w:r>
      <w:r>
        <w:rPr>
          <w:rFonts w:hint="eastAsia"/>
          <w:spacing w:val="-8"/>
          <w:lang w:eastAsia="zh-CN"/>
        </w:rPr>
        <w:t>图文</w:t>
      </w:r>
      <w:r>
        <w:rPr>
          <w:spacing w:val="-8"/>
        </w:rPr>
        <w:t>形式对企业开办流程</w:t>
      </w:r>
      <w:r>
        <w:rPr>
          <w:rFonts w:hint="eastAsia"/>
          <w:spacing w:val="-8"/>
          <w:lang w:eastAsia="zh-CN"/>
        </w:rPr>
        <w:t>、</w:t>
      </w:r>
      <w:r>
        <w:rPr>
          <w:spacing w:val="-8"/>
        </w:rPr>
        <w:t>环节进行</w:t>
      </w:r>
      <w:r>
        <w:rPr>
          <w:spacing w:val="-5"/>
        </w:rPr>
        <w:t>描述，编制流程图</w:t>
      </w:r>
      <w:r>
        <w:rPr>
          <w:rFonts w:hint="eastAsia"/>
          <w:spacing w:val="-5"/>
          <w:lang w:eastAsia="zh-CN"/>
        </w:rPr>
        <w:t>，并在</w:t>
      </w:r>
      <w:r>
        <w:rPr>
          <w:spacing w:val="-3"/>
          <w:sz w:val="21"/>
        </w:rPr>
        <w:t>政务服务大厅</w:t>
      </w:r>
      <w:r>
        <w:rPr>
          <w:sz w:val="21"/>
        </w:rPr>
        <w:t>（</w:t>
      </w:r>
      <w:r>
        <w:rPr>
          <w:spacing w:val="-2"/>
          <w:sz w:val="21"/>
        </w:rPr>
        <w:t>窗口</w:t>
      </w:r>
      <w:r>
        <w:rPr>
          <w:sz w:val="21"/>
        </w:rPr>
        <w:t>）</w:t>
      </w:r>
      <w:r>
        <w:rPr>
          <w:rFonts w:hint="eastAsia"/>
          <w:spacing w:val="-5"/>
          <w:lang w:val="en-US" w:eastAsia="zh-CN"/>
        </w:rPr>
        <w:t>公开</w:t>
      </w:r>
      <w:r>
        <w:rPr>
          <w:spacing w:val="-5"/>
        </w:rPr>
        <w:t>。</w:t>
      </w:r>
    </w:p>
    <w:p>
      <w:pPr>
        <w:pStyle w:val="8"/>
        <w:numPr>
          <w:ilvl w:val="2"/>
          <w:numId w:val="1"/>
        </w:numPr>
        <w:tabs>
          <w:tab w:val="left" w:pos="1093"/>
          <w:tab w:val="left" w:pos="1094"/>
        </w:tabs>
        <w:spacing w:before="156" w:after="0" w:line="240" w:lineRule="auto"/>
        <w:ind w:left="1093" w:right="0" w:hanging="736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咨询服务</w:t>
      </w:r>
    </w:p>
    <w:p>
      <w:pPr>
        <w:pStyle w:val="4"/>
        <w:spacing w:before="7"/>
        <w:rPr>
          <w:rFonts w:ascii="黑体"/>
          <w:sz w:val="15"/>
        </w:rPr>
      </w:pPr>
    </w:p>
    <w:p>
      <w:pPr>
        <w:pStyle w:val="8"/>
        <w:numPr>
          <w:ilvl w:val="3"/>
          <w:numId w:val="1"/>
        </w:numPr>
        <w:tabs>
          <w:tab w:val="left" w:pos="1305"/>
        </w:tabs>
        <w:spacing w:before="0" w:after="0" w:line="278" w:lineRule="auto"/>
        <w:ind w:left="358" w:right="406" w:firstLine="0"/>
        <w:jc w:val="both"/>
        <w:rPr>
          <w:sz w:val="21"/>
        </w:rPr>
      </w:pPr>
      <w:r>
        <w:rPr>
          <w:rFonts w:hint="eastAsia"/>
          <w:spacing w:val="-3"/>
          <w:sz w:val="21"/>
          <w:lang w:eastAsia="zh-CN"/>
        </w:rPr>
        <w:t>申请人咨询方式包括但不限于</w:t>
      </w:r>
      <w:r>
        <w:rPr>
          <w:spacing w:val="-3"/>
          <w:sz w:val="21"/>
        </w:rPr>
        <w:t>现场咨询</w:t>
      </w:r>
      <w:r>
        <w:rPr>
          <w:sz w:val="21"/>
        </w:rPr>
        <w:t>（</w:t>
      </w:r>
      <w:r>
        <w:rPr>
          <w:spacing w:val="-3"/>
          <w:sz w:val="21"/>
        </w:rPr>
        <w:t>如窗口咨询）</w:t>
      </w:r>
      <w:r>
        <w:rPr>
          <w:spacing w:val="-2"/>
          <w:sz w:val="21"/>
        </w:rPr>
        <w:t>和非现场咨询</w:t>
      </w:r>
      <w:r>
        <w:rPr>
          <w:sz w:val="21"/>
        </w:rPr>
        <w:t>（</w:t>
      </w:r>
      <w:r>
        <w:rPr>
          <w:spacing w:val="-3"/>
          <w:sz w:val="21"/>
        </w:rPr>
        <w:t>如网上咨询、电话咨询、</w:t>
      </w:r>
      <w:r>
        <w:rPr>
          <w:rFonts w:hint="eastAsia"/>
          <w:spacing w:val="-3"/>
          <w:sz w:val="21"/>
          <w:lang w:val="en-US" w:eastAsia="zh-CN"/>
        </w:rPr>
        <w:t>12345</w:t>
      </w:r>
      <w:r>
        <w:rPr>
          <w:spacing w:val="-3"/>
          <w:sz w:val="21"/>
        </w:rPr>
        <w:t>咨询）等多种方式和渠道</w:t>
      </w:r>
      <w:r>
        <w:rPr>
          <w:rFonts w:hint="eastAsia"/>
          <w:spacing w:val="-3"/>
          <w:sz w:val="21"/>
          <w:lang w:eastAsia="zh-CN"/>
        </w:rPr>
        <w:t>。</w:t>
      </w:r>
    </w:p>
    <w:p>
      <w:pPr>
        <w:pStyle w:val="8"/>
        <w:numPr>
          <w:ilvl w:val="3"/>
          <w:numId w:val="1"/>
        </w:numPr>
        <w:tabs>
          <w:tab w:val="left" w:pos="1305"/>
        </w:tabs>
        <w:spacing w:before="0" w:after="0" w:line="278" w:lineRule="auto"/>
        <w:ind w:left="358" w:right="406" w:firstLine="0"/>
        <w:jc w:val="both"/>
        <w:rPr>
          <w:sz w:val="12"/>
        </w:rPr>
      </w:pPr>
      <w:r>
        <w:rPr>
          <w:spacing w:val="-3"/>
          <w:sz w:val="21"/>
        </w:rPr>
        <w:t>开办企业实施机关工作人员应</w:t>
      </w:r>
      <w:r>
        <w:rPr>
          <w:rFonts w:hint="eastAsia"/>
          <w:spacing w:val="-3"/>
          <w:sz w:val="21"/>
          <w:lang w:eastAsia="zh-CN"/>
        </w:rPr>
        <w:t>按照“首问责任制”要求，</w:t>
      </w:r>
      <w:r>
        <w:rPr>
          <w:spacing w:val="-3"/>
          <w:sz w:val="21"/>
        </w:rPr>
        <w:t>对咨询做出清晰明确答复，可</w:t>
      </w:r>
      <w:r>
        <w:rPr>
          <w:rFonts w:hint="eastAsia"/>
          <w:spacing w:val="-3"/>
          <w:sz w:val="21"/>
          <w:lang w:eastAsia="zh-CN"/>
        </w:rPr>
        <w:t>根据咨询需要</w:t>
      </w:r>
      <w:r>
        <w:rPr>
          <w:spacing w:val="-3"/>
          <w:sz w:val="21"/>
        </w:rPr>
        <w:t>进一步提供相关事项的</w:t>
      </w:r>
      <w:r>
        <w:rPr>
          <w:rFonts w:hint="eastAsia"/>
          <w:spacing w:val="-3"/>
          <w:sz w:val="21"/>
          <w:lang w:eastAsia="zh-CN"/>
        </w:rPr>
        <w:t>办事</w:t>
      </w:r>
      <w:r>
        <w:rPr>
          <w:spacing w:val="-3"/>
          <w:sz w:val="21"/>
        </w:rPr>
        <w:t>指</w:t>
      </w:r>
      <w:r>
        <w:rPr>
          <w:spacing w:val="-11"/>
          <w:sz w:val="21"/>
        </w:rPr>
        <w:t>南、办理网址或地址，及其他服务内容。工作人员现场不能答复的，应</w:t>
      </w:r>
      <w:r>
        <w:rPr>
          <w:rFonts w:hint="eastAsia"/>
          <w:spacing w:val="-11"/>
          <w:sz w:val="21"/>
          <w:lang w:eastAsia="zh-CN"/>
        </w:rPr>
        <w:t>一次性</w:t>
      </w:r>
      <w:r>
        <w:rPr>
          <w:spacing w:val="-11"/>
          <w:sz w:val="21"/>
        </w:rPr>
        <w:t>告知申请人答复时间</w:t>
      </w:r>
      <w:r>
        <w:rPr>
          <w:rFonts w:hint="eastAsia"/>
          <w:spacing w:val="-11"/>
          <w:sz w:val="21"/>
          <w:lang w:eastAsia="zh-CN"/>
        </w:rPr>
        <w:t>或</w:t>
      </w:r>
      <w:r>
        <w:rPr>
          <w:spacing w:val="-6"/>
          <w:sz w:val="21"/>
        </w:rPr>
        <w:t>其他咨询途径。</w:t>
      </w:r>
    </w:p>
    <w:p>
      <w:pPr>
        <w:pStyle w:val="8"/>
        <w:numPr>
          <w:ilvl w:val="2"/>
          <w:numId w:val="1"/>
        </w:numPr>
        <w:tabs>
          <w:tab w:val="left" w:pos="1094"/>
        </w:tabs>
        <w:spacing w:before="156" w:after="0" w:line="240" w:lineRule="auto"/>
        <w:ind w:left="1093" w:right="0" w:hanging="736"/>
        <w:jc w:val="both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投诉举报</w:t>
      </w:r>
    </w:p>
    <w:p>
      <w:pPr>
        <w:pStyle w:val="4"/>
        <w:spacing w:before="6"/>
        <w:rPr>
          <w:rFonts w:ascii="黑体"/>
          <w:sz w:val="15"/>
        </w:rPr>
      </w:pPr>
    </w:p>
    <w:p>
      <w:pPr>
        <w:pStyle w:val="8"/>
        <w:numPr>
          <w:ilvl w:val="3"/>
          <w:numId w:val="1"/>
        </w:numPr>
        <w:tabs>
          <w:tab w:val="left" w:pos="1305"/>
        </w:tabs>
        <w:spacing w:before="0" w:after="0" w:line="278" w:lineRule="auto"/>
        <w:ind w:left="358" w:right="406" w:firstLine="0"/>
        <w:jc w:val="both"/>
        <w:rPr>
          <w:sz w:val="21"/>
        </w:rPr>
      </w:pPr>
      <w:r>
        <w:rPr>
          <w:spacing w:val="-11"/>
          <w:sz w:val="21"/>
        </w:rPr>
        <w:t>开办企业实施机关应提供投诉举报的途径，明确投诉举报的受理范围、办理程序、结果处理、</w:t>
      </w:r>
      <w:r>
        <w:rPr>
          <w:spacing w:val="-6"/>
          <w:sz w:val="21"/>
        </w:rPr>
        <w:t>处理期限以及投诉举报处理的规定要求、保密措施等。</w:t>
      </w:r>
      <w:r>
        <w:rPr>
          <w:sz w:val="21"/>
        </w:rPr>
        <w:t xml:space="preserve"> </w:t>
      </w:r>
    </w:p>
    <w:p>
      <w:pPr>
        <w:pStyle w:val="8"/>
        <w:numPr>
          <w:ilvl w:val="3"/>
          <w:numId w:val="1"/>
        </w:numPr>
        <w:tabs>
          <w:tab w:val="left" w:pos="1305"/>
        </w:tabs>
        <w:spacing w:before="0" w:after="0" w:line="278" w:lineRule="auto"/>
        <w:ind w:left="358" w:right="406" w:firstLine="0"/>
        <w:jc w:val="both"/>
        <w:rPr>
          <w:sz w:val="21"/>
        </w:rPr>
      </w:pPr>
      <w:r>
        <w:rPr>
          <w:spacing w:val="-14"/>
          <w:sz w:val="21"/>
        </w:rPr>
        <w:t>投诉举报反映问题属实的，应将处理结果告知投诉人、举报人；投诉举报反映问题不属实的，</w:t>
      </w:r>
      <w:r>
        <w:rPr>
          <w:spacing w:val="-7"/>
          <w:sz w:val="21"/>
        </w:rPr>
        <w:t>应向投诉人、举报人说明有关情况。</w:t>
      </w:r>
      <w:r>
        <w:rPr>
          <w:sz w:val="21"/>
        </w:rPr>
        <w:t xml:space="preserve"> </w:t>
      </w:r>
    </w:p>
    <w:p>
      <w:pPr>
        <w:pStyle w:val="8"/>
        <w:numPr>
          <w:ilvl w:val="2"/>
          <w:numId w:val="1"/>
        </w:numPr>
        <w:tabs>
          <w:tab w:val="left" w:pos="1094"/>
        </w:tabs>
        <w:spacing w:before="156" w:after="0" w:line="240" w:lineRule="auto"/>
        <w:ind w:left="1093" w:right="0" w:hanging="736"/>
        <w:jc w:val="both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服务礼仪</w:t>
      </w:r>
    </w:p>
    <w:p>
      <w:pPr>
        <w:pStyle w:val="4"/>
        <w:spacing w:before="6"/>
        <w:rPr>
          <w:rFonts w:ascii="黑体"/>
          <w:sz w:val="15"/>
        </w:rPr>
      </w:pPr>
    </w:p>
    <w:p>
      <w:pPr>
        <w:pStyle w:val="4"/>
        <w:spacing w:before="1"/>
        <w:ind w:left="778"/>
      </w:pPr>
      <w:r>
        <w:t xml:space="preserve">开办企业实施机关窗口人员服务礼仪应符合 GB/T 32169.3-2015第5章的规定。 </w:t>
      </w:r>
    </w:p>
    <w:p>
      <w:pPr>
        <w:pStyle w:val="4"/>
        <w:spacing w:before="12"/>
        <w:rPr>
          <w:sz w:val="9"/>
        </w:rPr>
      </w:pPr>
    </w:p>
    <w:p>
      <w:pPr>
        <w:pStyle w:val="8"/>
        <w:numPr>
          <w:ilvl w:val="1"/>
          <w:numId w:val="1"/>
        </w:numPr>
        <w:tabs>
          <w:tab w:val="left" w:pos="884"/>
          <w:tab w:val="left" w:pos="885"/>
        </w:tabs>
        <w:spacing w:before="72" w:after="0" w:line="240" w:lineRule="auto"/>
        <w:ind w:left="884" w:right="0" w:hanging="52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服务优化</w:t>
      </w:r>
    </w:p>
    <w:p>
      <w:pPr>
        <w:pStyle w:val="4"/>
        <w:spacing w:before="12"/>
        <w:rPr>
          <w:rFonts w:ascii="黑体"/>
          <w:sz w:val="9"/>
        </w:rPr>
      </w:pPr>
    </w:p>
    <w:p>
      <w:pPr>
        <w:pStyle w:val="8"/>
        <w:numPr>
          <w:ilvl w:val="2"/>
          <w:numId w:val="1"/>
        </w:numPr>
        <w:tabs>
          <w:tab w:val="left" w:pos="1094"/>
        </w:tabs>
        <w:spacing w:before="71" w:after="0" w:line="278" w:lineRule="auto"/>
        <w:ind w:left="358" w:right="406" w:firstLine="0"/>
        <w:jc w:val="both"/>
        <w:rPr>
          <w:sz w:val="21"/>
        </w:rPr>
      </w:pPr>
      <w:r>
        <w:rPr>
          <w:spacing w:val="-3"/>
          <w:sz w:val="21"/>
        </w:rPr>
        <w:t>政务服务管理机构、开办企业实施机关</w:t>
      </w:r>
      <w:r>
        <w:rPr>
          <w:rFonts w:hint="eastAsia"/>
          <w:spacing w:val="-3"/>
          <w:sz w:val="21"/>
          <w:lang w:eastAsia="zh-CN"/>
        </w:rPr>
        <w:t>应</w:t>
      </w:r>
      <w:r>
        <w:rPr>
          <w:spacing w:val="-3"/>
          <w:sz w:val="21"/>
        </w:rPr>
        <w:t>建立前台统一受理、后台分类审批、统一窗口出件的“一窗</w:t>
      </w:r>
      <w:r>
        <w:rPr>
          <w:rFonts w:hint="eastAsia"/>
          <w:spacing w:val="-3"/>
          <w:sz w:val="21"/>
          <w:lang w:eastAsia="zh-CN"/>
        </w:rPr>
        <w:t>制</w:t>
      </w:r>
      <w:r>
        <w:rPr>
          <w:spacing w:val="-3"/>
          <w:sz w:val="21"/>
        </w:rPr>
        <w:t>”企业开办服务模式。</w:t>
      </w:r>
      <w:r>
        <w:rPr>
          <w:sz w:val="21"/>
        </w:rPr>
        <w:t xml:space="preserve"> </w:t>
      </w:r>
    </w:p>
    <w:p>
      <w:pPr>
        <w:pStyle w:val="8"/>
        <w:numPr>
          <w:ilvl w:val="2"/>
          <w:numId w:val="1"/>
        </w:numPr>
        <w:tabs>
          <w:tab w:val="left" w:pos="1094"/>
        </w:tabs>
        <w:spacing w:before="0" w:after="0" w:line="278" w:lineRule="auto"/>
        <w:ind w:left="358" w:right="406" w:firstLine="0"/>
        <w:jc w:val="both"/>
        <w:rPr>
          <w:sz w:val="21"/>
        </w:rPr>
      </w:pPr>
      <w:r>
        <w:rPr>
          <w:spacing w:val="-15"/>
          <w:sz w:val="21"/>
        </w:rPr>
        <w:t>政务服务管理机构、开办企业实施机关</w:t>
      </w:r>
      <w:r>
        <w:rPr>
          <w:rFonts w:hint="eastAsia"/>
          <w:spacing w:val="-15"/>
          <w:sz w:val="21"/>
          <w:lang w:eastAsia="zh-CN"/>
        </w:rPr>
        <w:t>应</w:t>
      </w:r>
      <w:r>
        <w:rPr>
          <w:spacing w:val="-15"/>
          <w:sz w:val="21"/>
        </w:rPr>
        <w:t>优化整合企业开办申请条件、</w:t>
      </w:r>
      <w:r>
        <w:rPr>
          <w:spacing w:val="-7"/>
          <w:sz w:val="21"/>
        </w:rPr>
        <w:t>申请材料及办理流程，建立</w:t>
      </w:r>
      <w:r>
        <w:rPr>
          <w:rFonts w:hint="eastAsia"/>
          <w:spacing w:val="-7"/>
          <w:sz w:val="21"/>
          <w:lang w:eastAsia="zh-CN"/>
        </w:rPr>
        <w:t>“一件事一次办”</w:t>
      </w:r>
      <w:r>
        <w:rPr>
          <w:spacing w:val="-7"/>
          <w:sz w:val="21"/>
        </w:rPr>
        <w:t>的企业开办服务模式。</w:t>
      </w:r>
      <w:r>
        <w:rPr>
          <w:sz w:val="21"/>
        </w:rPr>
        <w:t xml:space="preserve"> </w:t>
      </w:r>
    </w:p>
    <w:p>
      <w:pPr>
        <w:pStyle w:val="8"/>
        <w:numPr>
          <w:ilvl w:val="2"/>
          <w:numId w:val="1"/>
        </w:numPr>
        <w:tabs>
          <w:tab w:val="left" w:pos="1094"/>
        </w:tabs>
        <w:spacing w:before="0" w:after="0" w:line="278" w:lineRule="auto"/>
        <w:ind w:left="358" w:right="406" w:firstLine="0"/>
        <w:jc w:val="both"/>
        <w:rPr>
          <w:sz w:val="21"/>
        </w:rPr>
      </w:pPr>
      <w:r>
        <w:rPr>
          <w:spacing w:val="-3"/>
          <w:sz w:val="21"/>
        </w:rPr>
        <w:t>政务服务管理机构、开办企业实施机关</w:t>
      </w:r>
      <w:r>
        <w:rPr>
          <w:rFonts w:hint="eastAsia"/>
          <w:spacing w:val="-3"/>
          <w:sz w:val="21"/>
          <w:lang w:eastAsia="zh-CN"/>
        </w:rPr>
        <w:t>应提升企业开办线上一网通办和线下一窗办理的</w:t>
      </w:r>
      <w:r>
        <w:rPr>
          <w:spacing w:val="-9"/>
          <w:sz w:val="21"/>
        </w:rPr>
        <w:t>一体化融合，实现企业开办在政务服务网全流程办理，形成“一网办理”的企业开办服务模</w:t>
      </w:r>
      <w:r>
        <w:rPr>
          <w:spacing w:val="-6"/>
          <w:sz w:val="21"/>
        </w:rPr>
        <w:t>式。</w:t>
      </w:r>
      <w:r>
        <w:rPr>
          <w:sz w:val="21"/>
        </w:rPr>
        <w:t xml:space="preserve"> </w:t>
      </w:r>
    </w:p>
    <w:p>
      <w:pPr>
        <w:pStyle w:val="4"/>
        <w:spacing w:before="6"/>
        <w:rPr>
          <w:sz w:val="24"/>
        </w:rPr>
      </w:pPr>
    </w:p>
    <w:p>
      <w:pPr>
        <w:pStyle w:val="8"/>
        <w:numPr>
          <w:ilvl w:val="0"/>
          <w:numId w:val="1"/>
        </w:numPr>
        <w:tabs>
          <w:tab w:val="left" w:pos="674"/>
        </w:tabs>
        <w:spacing w:before="1" w:after="0" w:line="240" w:lineRule="auto"/>
        <w:ind w:left="673" w:right="0" w:hanging="316"/>
        <w:jc w:val="both"/>
        <w:rPr>
          <w:rFonts w:hint="eastAsia" w:ascii="黑体" w:eastAsia="黑体"/>
          <w:sz w:val="21"/>
        </w:rPr>
      </w:pPr>
      <w:bookmarkStart w:id="11" w:name="_bookmark6"/>
      <w:bookmarkEnd w:id="11"/>
      <w:bookmarkStart w:id="12" w:name="_bookmark6"/>
      <w:bookmarkEnd w:id="12"/>
      <w:r>
        <w:rPr>
          <w:rFonts w:hint="eastAsia" w:ascii="黑体" w:eastAsia="黑体"/>
          <w:sz w:val="21"/>
        </w:rPr>
        <w:t>场所</w:t>
      </w:r>
    </w:p>
    <w:p>
      <w:pPr>
        <w:pStyle w:val="4"/>
        <w:spacing w:before="12"/>
        <w:rPr>
          <w:rFonts w:ascii="黑体"/>
        </w:rPr>
      </w:pPr>
    </w:p>
    <w:p>
      <w:pPr>
        <w:pStyle w:val="8"/>
        <w:numPr>
          <w:ilvl w:val="1"/>
          <w:numId w:val="1"/>
        </w:numPr>
        <w:tabs>
          <w:tab w:val="left" w:pos="884"/>
          <w:tab w:val="left" w:pos="885"/>
        </w:tabs>
        <w:spacing w:before="71" w:after="0" w:line="240" w:lineRule="auto"/>
        <w:ind w:left="884" w:right="0" w:hanging="52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场所建设</w:t>
      </w:r>
    </w:p>
    <w:p>
      <w:pPr>
        <w:pStyle w:val="4"/>
        <w:rPr>
          <w:rFonts w:ascii="黑体"/>
          <w:sz w:val="10"/>
        </w:rPr>
      </w:pPr>
    </w:p>
    <w:p>
      <w:pPr>
        <w:pStyle w:val="8"/>
        <w:numPr>
          <w:ilvl w:val="2"/>
          <w:numId w:val="1"/>
        </w:numPr>
        <w:tabs>
          <w:tab w:val="left" w:pos="1093"/>
          <w:tab w:val="left" w:pos="1094"/>
        </w:tabs>
        <w:spacing w:before="71" w:after="0" w:line="240" w:lineRule="auto"/>
        <w:ind w:left="1093" w:right="0" w:hanging="736"/>
        <w:jc w:val="left"/>
        <w:rPr>
          <w:sz w:val="21"/>
        </w:rPr>
      </w:pPr>
      <w:r>
        <w:rPr>
          <w:spacing w:val="-3"/>
          <w:sz w:val="21"/>
        </w:rPr>
        <w:t>开办企业实施机关窗口的建设应满足企业开办持续优化的需要。</w:t>
      </w:r>
      <w:r>
        <w:rPr>
          <w:sz w:val="21"/>
        </w:rPr>
        <w:t xml:space="preserve"> </w:t>
      </w:r>
    </w:p>
    <w:p>
      <w:pPr>
        <w:pStyle w:val="8"/>
        <w:numPr>
          <w:ilvl w:val="2"/>
          <w:numId w:val="1"/>
        </w:numPr>
        <w:tabs>
          <w:tab w:val="left" w:pos="1093"/>
          <w:tab w:val="left" w:pos="1094"/>
        </w:tabs>
        <w:spacing w:before="43" w:after="0" w:line="240" w:lineRule="auto"/>
        <w:ind w:left="1093" w:right="0" w:hanging="736"/>
        <w:jc w:val="left"/>
        <w:rPr>
          <w:sz w:val="21"/>
        </w:rPr>
      </w:pPr>
      <w:r>
        <w:rPr>
          <w:spacing w:val="-3"/>
          <w:sz w:val="21"/>
        </w:rPr>
        <w:t>开办企业实施机关的网络建设应符合“互联网+政务服务”相关规定。</w:t>
      </w:r>
      <w:r>
        <w:rPr>
          <w:sz w:val="21"/>
        </w:rPr>
        <w:t xml:space="preserve"> </w:t>
      </w:r>
    </w:p>
    <w:p>
      <w:pPr>
        <w:pStyle w:val="8"/>
        <w:numPr>
          <w:ilvl w:val="2"/>
          <w:numId w:val="1"/>
        </w:numPr>
        <w:tabs>
          <w:tab w:val="left" w:pos="1093"/>
          <w:tab w:val="left" w:pos="1094"/>
        </w:tabs>
        <w:spacing w:before="43" w:after="0" w:line="278" w:lineRule="auto"/>
        <w:ind w:left="358" w:right="408" w:firstLine="0"/>
        <w:jc w:val="left"/>
        <w:rPr>
          <w:sz w:val="21"/>
        </w:rPr>
      </w:pPr>
      <w:r>
        <w:rPr>
          <w:spacing w:val="-11"/>
          <w:sz w:val="21"/>
        </w:rPr>
        <w:t>政务服务大厅</w:t>
      </w:r>
      <w:r>
        <w:rPr>
          <w:spacing w:val="-3"/>
          <w:sz w:val="21"/>
        </w:rPr>
        <w:t>（</w:t>
      </w:r>
      <w:r>
        <w:rPr>
          <w:sz w:val="21"/>
        </w:rPr>
        <w:t>窗口</w:t>
      </w:r>
      <w:r>
        <w:rPr>
          <w:spacing w:val="-53"/>
          <w:sz w:val="21"/>
        </w:rPr>
        <w:t>）</w:t>
      </w:r>
      <w:r>
        <w:rPr>
          <w:spacing w:val="-2"/>
          <w:sz w:val="21"/>
        </w:rPr>
        <w:t xml:space="preserve">的建设应符合 </w:t>
      </w:r>
      <w:r>
        <w:rPr>
          <w:sz w:val="21"/>
        </w:rPr>
        <w:t>GB/T</w:t>
      </w:r>
      <w:r>
        <w:rPr>
          <w:spacing w:val="-52"/>
          <w:sz w:val="21"/>
        </w:rPr>
        <w:t xml:space="preserve"> </w:t>
      </w:r>
      <w:r>
        <w:rPr>
          <w:sz w:val="21"/>
        </w:rPr>
        <w:t>32169.1-2015</w:t>
      </w:r>
      <w:r>
        <w:rPr>
          <w:spacing w:val="-11"/>
          <w:sz w:val="21"/>
        </w:rPr>
        <w:t xml:space="preserve"> 《政务服务中心运行规范 第 </w:t>
      </w:r>
      <w:r>
        <w:rPr>
          <w:sz w:val="21"/>
        </w:rPr>
        <w:t>1</w:t>
      </w:r>
      <w:r>
        <w:rPr>
          <w:spacing w:val="-14"/>
          <w:sz w:val="21"/>
        </w:rPr>
        <w:t xml:space="preserve"> 部分： </w:t>
      </w:r>
      <w:r>
        <w:rPr>
          <w:spacing w:val="-7"/>
          <w:sz w:val="21"/>
        </w:rPr>
        <w:t>基本要求》的规定。</w:t>
      </w:r>
      <w:r>
        <w:rPr>
          <w:sz w:val="21"/>
        </w:rPr>
        <w:t xml:space="preserve"> </w:t>
      </w:r>
    </w:p>
    <w:p>
      <w:pPr>
        <w:pStyle w:val="8"/>
        <w:numPr>
          <w:ilvl w:val="1"/>
          <w:numId w:val="1"/>
        </w:numPr>
        <w:tabs>
          <w:tab w:val="left" w:pos="884"/>
          <w:tab w:val="left" w:pos="885"/>
        </w:tabs>
        <w:spacing w:before="156" w:after="0" w:line="240" w:lineRule="auto"/>
        <w:ind w:left="884" w:right="0" w:hanging="52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场所管理</w:t>
      </w:r>
    </w:p>
    <w:p>
      <w:pPr>
        <w:pStyle w:val="4"/>
        <w:spacing w:before="12"/>
        <w:rPr>
          <w:rFonts w:ascii="黑体"/>
          <w:sz w:val="9"/>
        </w:rPr>
      </w:pPr>
    </w:p>
    <w:p>
      <w:pPr>
        <w:pStyle w:val="4"/>
        <w:spacing w:before="71" w:line="278" w:lineRule="auto"/>
        <w:ind w:left="358" w:right="408" w:firstLine="420"/>
      </w:pPr>
      <w:r>
        <w:t xml:space="preserve">开办企业实施机关的窗口人员、安全、设施设备的管理应符合 GB/T 32169.1－2015 中 6.3 的规定。 </w:t>
      </w:r>
    </w:p>
    <w:p>
      <w:pPr>
        <w:pStyle w:val="4"/>
        <w:spacing w:before="7"/>
        <w:rPr>
          <w:sz w:val="24"/>
        </w:rPr>
      </w:pPr>
    </w:p>
    <w:p>
      <w:pPr>
        <w:pStyle w:val="8"/>
        <w:numPr>
          <w:ilvl w:val="0"/>
          <w:numId w:val="1"/>
        </w:numPr>
        <w:tabs>
          <w:tab w:val="left" w:pos="673"/>
          <w:tab w:val="left" w:pos="674"/>
        </w:tabs>
        <w:spacing w:before="0" w:after="0" w:line="240" w:lineRule="auto"/>
        <w:ind w:left="673" w:right="0" w:hanging="316"/>
        <w:jc w:val="left"/>
        <w:rPr>
          <w:rFonts w:hint="eastAsia" w:ascii="黑体" w:eastAsia="黑体"/>
          <w:sz w:val="21"/>
        </w:rPr>
      </w:pPr>
      <w:bookmarkStart w:id="13" w:name="_bookmark7"/>
      <w:bookmarkEnd w:id="13"/>
      <w:bookmarkStart w:id="14" w:name="_bookmark7"/>
      <w:bookmarkEnd w:id="14"/>
      <w:r>
        <w:rPr>
          <w:rFonts w:hint="eastAsia" w:ascii="黑体" w:eastAsia="黑体"/>
          <w:spacing w:val="-1"/>
          <w:sz w:val="21"/>
        </w:rPr>
        <w:t>监督和评价</w:t>
      </w:r>
    </w:p>
    <w:p>
      <w:pPr>
        <w:pStyle w:val="4"/>
        <w:rPr>
          <w:rFonts w:ascii="黑体"/>
          <w:sz w:val="22"/>
        </w:rPr>
      </w:pPr>
    </w:p>
    <w:p>
      <w:pPr>
        <w:pStyle w:val="8"/>
        <w:numPr>
          <w:ilvl w:val="1"/>
          <w:numId w:val="1"/>
        </w:numPr>
        <w:tabs>
          <w:tab w:val="left" w:pos="884"/>
          <w:tab w:val="left" w:pos="885"/>
        </w:tabs>
        <w:spacing w:before="71" w:after="0" w:line="240" w:lineRule="auto"/>
        <w:ind w:left="884" w:right="0" w:hanging="52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z w:val="21"/>
        </w:rPr>
        <w:t>监督</w:t>
      </w:r>
    </w:p>
    <w:p>
      <w:pPr>
        <w:pStyle w:val="4"/>
        <w:rPr>
          <w:rFonts w:ascii="黑体"/>
          <w:sz w:val="10"/>
        </w:rPr>
      </w:pPr>
    </w:p>
    <w:p>
      <w:pPr>
        <w:pStyle w:val="8"/>
        <w:numPr>
          <w:ilvl w:val="2"/>
          <w:numId w:val="1"/>
        </w:numPr>
        <w:tabs>
          <w:tab w:val="left" w:pos="1093"/>
          <w:tab w:val="left" w:pos="1094"/>
        </w:tabs>
        <w:spacing w:before="71" w:after="0" w:line="240" w:lineRule="auto"/>
        <w:ind w:left="1093" w:right="0" w:hanging="736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一般要求</w:t>
      </w:r>
    </w:p>
    <w:p>
      <w:pPr>
        <w:pStyle w:val="4"/>
        <w:spacing w:before="7"/>
        <w:rPr>
          <w:rFonts w:ascii="黑体"/>
          <w:sz w:val="15"/>
        </w:rPr>
      </w:pPr>
    </w:p>
    <w:p>
      <w:pPr>
        <w:pStyle w:val="8"/>
        <w:numPr>
          <w:ilvl w:val="3"/>
          <w:numId w:val="1"/>
        </w:numPr>
        <w:tabs>
          <w:tab w:val="left" w:pos="1304"/>
          <w:tab w:val="left" w:pos="1305"/>
        </w:tabs>
        <w:spacing w:before="0" w:after="0" w:line="240" w:lineRule="auto"/>
        <w:ind w:left="1304" w:right="0" w:hanging="947"/>
        <w:jc w:val="left"/>
        <w:rPr>
          <w:sz w:val="21"/>
        </w:rPr>
      </w:pPr>
      <w:r>
        <w:rPr>
          <w:spacing w:val="-3"/>
          <w:sz w:val="21"/>
        </w:rPr>
        <w:t>应建立常态化联合监督检查机制，对企业开办工作进行监督检查。</w:t>
      </w:r>
      <w:r>
        <w:rPr>
          <w:sz w:val="21"/>
        </w:rPr>
        <w:t xml:space="preserve"> </w:t>
      </w:r>
    </w:p>
    <w:p>
      <w:pPr>
        <w:pStyle w:val="4"/>
        <w:spacing w:before="10"/>
        <w:ind w:firstLine="612" w:firstLineChars="300"/>
        <w:rPr>
          <w:spacing w:val="-3"/>
          <w:sz w:val="21"/>
        </w:rPr>
      </w:pPr>
      <w:r>
        <w:rPr>
          <w:spacing w:val="-3"/>
          <w:sz w:val="21"/>
        </w:rPr>
        <w:t>应建立内部监督检查机制，明确监督检查的主体、岗位职责、监督检查重点、方式程序、结果处理、处理期限、相关文书等具体内容。</w:t>
      </w:r>
    </w:p>
    <w:p>
      <w:pPr>
        <w:pStyle w:val="4"/>
        <w:spacing w:before="10"/>
        <w:ind w:firstLine="612" w:firstLineChars="300"/>
        <w:rPr>
          <w:spacing w:val="-3"/>
          <w:sz w:val="21"/>
        </w:rPr>
      </w:pPr>
    </w:p>
    <w:p>
      <w:pPr>
        <w:pStyle w:val="8"/>
        <w:numPr>
          <w:ilvl w:val="2"/>
          <w:numId w:val="1"/>
        </w:numPr>
        <w:tabs>
          <w:tab w:val="left" w:pos="1093"/>
          <w:tab w:val="left" w:pos="1094"/>
        </w:tabs>
        <w:spacing w:before="72" w:after="0" w:line="240" w:lineRule="auto"/>
        <w:ind w:left="1093" w:right="0" w:hanging="736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方式渠道</w:t>
      </w:r>
    </w:p>
    <w:p>
      <w:pPr>
        <w:pStyle w:val="4"/>
        <w:spacing w:before="6"/>
        <w:rPr>
          <w:rFonts w:ascii="黑体"/>
          <w:sz w:val="15"/>
        </w:rPr>
      </w:pPr>
    </w:p>
    <w:p>
      <w:pPr>
        <w:pStyle w:val="8"/>
        <w:numPr>
          <w:ilvl w:val="0"/>
          <w:numId w:val="0"/>
        </w:numPr>
        <w:tabs>
          <w:tab w:val="left" w:pos="1304"/>
          <w:tab w:val="left" w:pos="1305"/>
        </w:tabs>
        <w:spacing w:before="1" w:after="0" w:line="240" w:lineRule="auto"/>
        <w:ind w:left="357" w:leftChars="0" w:right="0" w:rightChars="0" w:firstLine="408" w:firstLineChars="200"/>
        <w:jc w:val="left"/>
        <w:rPr>
          <w:sz w:val="21"/>
        </w:rPr>
      </w:pPr>
      <w:r>
        <w:rPr>
          <w:spacing w:val="-3"/>
          <w:sz w:val="21"/>
        </w:rPr>
        <w:t>对开办企业实施机关的工作情况</w:t>
      </w:r>
      <w:r>
        <w:rPr>
          <w:rFonts w:hint="eastAsia"/>
          <w:spacing w:val="-3"/>
          <w:sz w:val="21"/>
          <w:lang w:eastAsia="zh-CN"/>
        </w:rPr>
        <w:t>，</w:t>
      </w:r>
      <w:r>
        <w:rPr>
          <w:spacing w:val="-3"/>
          <w:sz w:val="21"/>
        </w:rPr>
        <w:t>采取现场巡查、电子监察等方式</w:t>
      </w:r>
      <w:r>
        <w:rPr>
          <w:rFonts w:hint="eastAsia"/>
          <w:spacing w:val="-3"/>
          <w:sz w:val="21"/>
          <w:lang w:eastAsia="zh-CN"/>
        </w:rPr>
        <w:t>，</w:t>
      </w:r>
      <w:r>
        <w:rPr>
          <w:spacing w:val="-3"/>
          <w:sz w:val="21"/>
        </w:rPr>
        <w:t>定期或不定期进行抽样检查、抽点检查、定点检查。</w:t>
      </w:r>
      <w:r>
        <w:rPr>
          <w:sz w:val="21"/>
        </w:rPr>
        <w:t xml:space="preserve"> </w:t>
      </w:r>
    </w:p>
    <w:p>
      <w:pPr>
        <w:pStyle w:val="4"/>
        <w:spacing w:before="6"/>
        <w:rPr>
          <w:sz w:val="15"/>
        </w:rPr>
      </w:pPr>
    </w:p>
    <w:p>
      <w:pPr>
        <w:pStyle w:val="8"/>
        <w:numPr>
          <w:ilvl w:val="2"/>
          <w:numId w:val="1"/>
        </w:numPr>
        <w:tabs>
          <w:tab w:val="left" w:pos="1093"/>
          <w:tab w:val="left" w:pos="1094"/>
        </w:tabs>
        <w:spacing w:before="0" w:after="0" w:line="240" w:lineRule="auto"/>
        <w:ind w:left="1093" w:right="0" w:hanging="736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检查内容</w:t>
      </w:r>
    </w:p>
    <w:p>
      <w:pPr>
        <w:pStyle w:val="4"/>
        <w:spacing w:before="7"/>
        <w:rPr>
          <w:rFonts w:ascii="黑体"/>
          <w:sz w:val="15"/>
        </w:rPr>
      </w:pPr>
    </w:p>
    <w:p>
      <w:pPr>
        <w:pStyle w:val="4"/>
        <w:ind w:left="778"/>
      </w:pPr>
      <w:r>
        <w:t xml:space="preserve">检查内容应包括但不限于： </w:t>
      </w:r>
    </w:p>
    <w:p>
      <w:pPr>
        <w:pStyle w:val="8"/>
        <w:numPr>
          <w:ilvl w:val="0"/>
          <w:numId w:val="3"/>
        </w:numPr>
        <w:tabs>
          <w:tab w:val="left" w:pos="1210"/>
          <w:tab w:val="left" w:pos="1211"/>
        </w:tabs>
        <w:spacing w:before="43" w:after="0" w:line="240" w:lineRule="auto"/>
        <w:ind w:left="1210" w:right="0" w:hanging="428"/>
        <w:jc w:val="left"/>
        <w:rPr>
          <w:sz w:val="21"/>
        </w:rPr>
      </w:pPr>
      <w:r>
        <w:rPr>
          <w:spacing w:val="-3"/>
          <w:sz w:val="21"/>
        </w:rPr>
        <w:t xml:space="preserve">企业开办流程清单要素内容的准确性、真实性、完整性和变更调整等情况； </w:t>
      </w:r>
    </w:p>
    <w:p>
      <w:pPr>
        <w:pStyle w:val="8"/>
        <w:numPr>
          <w:ilvl w:val="0"/>
          <w:numId w:val="3"/>
        </w:numPr>
        <w:tabs>
          <w:tab w:val="left" w:pos="1210"/>
          <w:tab w:val="left" w:pos="1211"/>
        </w:tabs>
        <w:spacing w:before="43" w:after="0" w:line="240" w:lineRule="auto"/>
        <w:ind w:left="1210" w:right="0" w:hanging="428"/>
        <w:jc w:val="left"/>
        <w:rPr>
          <w:sz w:val="21"/>
        </w:rPr>
      </w:pPr>
      <w:r>
        <w:rPr>
          <w:rFonts w:hint="eastAsia"/>
          <w:spacing w:val="-3"/>
          <w:sz w:val="21"/>
          <w:lang w:eastAsia="zh-CN"/>
        </w:rPr>
        <w:t>办事</w:t>
      </w:r>
      <w:r>
        <w:rPr>
          <w:spacing w:val="-3"/>
          <w:sz w:val="21"/>
        </w:rPr>
        <w:t>指南的准确性、完整性和变更调整等情况；</w:t>
      </w:r>
      <w:r>
        <w:rPr>
          <w:sz w:val="21"/>
        </w:rPr>
        <w:t xml:space="preserve"> </w:t>
      </w:r>
    </w:p>
    <w:p>
      <w:pPr>
        <w:pStyle w:val="8"/>
        <w:numPr>
          <w:ilvl w:val="0"/>
          <w:numId w:val="3"/>
        </w:numPr>
        <w:tabs>
          <w:tab w:val="left" w:pos="1210"/>
          <w:tab w:val="left" w:pos="1211"/>
        </w:tabs>
        <w:spacing w:before="43" w:after="0" w:line="240" w:lineRule="auto"/>
        <w:ind w:left="1210" w:right="0" w:hanging="428"/>
        <w:jc w:val="left"/>
        <w:rPr>
          <w:sz w:val="21"/>
        </w:rPr>
      </w:pPr>
      <w:r>
        <w:rPr>
          <w:spacing w:val="-3"/>
          <w:sz w:val="21"/>
        </w:rPr>
        <w:t>企业开办审查是否存在超权限、超时限或擅自增加申请材料、审核环节等情况；</w:t>
      </w:r>
      <w:r>
        <w:rPr>
          <w:sz w:val="21"/>
        </w:rPr>
        <w:t xml:space="preserve"> </w:t>
      </w:r>
    </w:p>
    <w:p>
      <w:pPr>
        <w:pStyle w:val="8"/>
        <w:numPr>
          <w:ilvl w:val="0"/>
          <w:numId w:val="3"/>
        </w:numPr>
        <w:tabs>
          <w:tab w:val="left" w:pos="1210"/>
          <w:tab w:val="left" w:pos="1211"/>
        </w:tabs>
        <w:spacing w:before="43" w:after="0" w:line="240" w:lineRule="auto"/>
        <w:ind w:left="1210" w:right="0" w:hanging="428"/>
        <w:jc w:val="left"/>
        <w:rPr>
          <w:sz w:val="21"/>
        </w:rPr>
      </w:pPr>
      <w:r>
        <w:rPr>
          <w:spacing w:val="-3"/>
          <w:sz w:val="21"/>
        </w:rPr>
        <w:t>开办企业实施机关是否存在不作为、乱作为、</w:t>
      </w:r>
      <w:r>
        <w:rPr>
          <w:rFonts w:hint="eastAsia"/>
          <w:spacing w:val="-3"/>
          <w:sz w:val="21"/>
          <w:lang w:eastAsia="zh-CN"/>
        </w:rPr>
        <w:t>慢作为、</w:t>
      </w:r>
      <w:r>
        <w:rPr>
          <w:spacing w:val="-3"/>
          <w:sz w:val="21"/>
        </w:rPr>
        <w:t>吃拿卡要等违规情况；</w:t>
      </w:r>
      <w:r>
        <w:rPr>
          <w:sz w:val="21"/>
        </w:rPr>
        <w:t xml:space="preserve"> </w:t>
      </w:r>
    </w:p>
    <w:p>
      <w:pPr>
        <w:pStyle w:val="8"/>
        <w:numPr>
          <w:ilvl w:val="0"/>
          <w:numId w:val="3"/>
        </w:numPr>
        <w:tabs>
          <w:tab w:val="left" w:pos="1210"/>
          <w:tab w:val="left" w:pos="1211"/>
        </w:tabs>
        <w:spacing w:before="43" w:after="0" w:line="240" w:lineRule="auto"/>
        <w:ind w:left="1210" w:right="0" w:hanging="428"/>
        <w:jc w:val="left"/>
        <w:rPr>
          <w:sz w:val="21"/>
        </w:rPr>
      </w:pPr>
      <w:r>
        <w:rPr>
          <w:spacing w:val="-3"/>
          <w:sz w:val="21"/>
        </w:rPr>
        <w:t>咨询和投诉举报回复的时间及回复的质量等情况。</w:t>
      </w:r>
      <w:r>
        <w:rPr>
          <w:sz w:val="21"/>
        </w:rPr>
        <w:t xml:space="preserve"> </w:t>
      </w:r>
    </w:p>
    <w:p>
      <w:pPr>
        <w:pStyle w:val="4"/>
        <w:spacing w:before="12"/>
        <w:rPr>
          <w:sz w:val="9"/>
        </w:rPr>
      </w:pPr>
    </w:p>
    <w:p>
      <w:pPr>
        <w:pStyle w:val="8"/>
        <w:numPr>
          <w:ilvl w:val="1"/>
          <w:numId w:val="4"/>
        </w:numPr>
        <w:tabs>
          <w:tab w:val="left" w:pos="884"/>
          <w:tab w:val="left" w:pos="885"/>
        </w:tabs>
        <w:spacing w:before="72" w:after="0" w:line="240" w:lineRule="auto"/>
        <w:ind w:left="884" w:right="0" w:hanging="52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z w:val="21"/>
        </w:rPr>
        <w:t>评价</w:t>
      </w:r>
    </w:p>
    <w:p>
      <w:pPr>
        <w:pStyle w:val="4"/>
        <w:spacing w:before="12"/>
        <w:rPr>
          <w:rFonts w:ascii="黑体"/>
          <w:sz w:val="9"/>
        </w:rPr>
      </w:pPr>
    </w:p>
    <w:p>
      <w:pPr>
        <w:pStyle w:val="8"/>
        <w:numPr>
          <w:ilvl w:val="2"/>
          <w:numId w:val="4"/>
        </w:numPr>
        <w:tabs>
          <w:tab w:val="left" w:pos="1093"/>
          <w:tab w:val="left" w:pos="1094"/>
        </w:tabs>
        <w:spacing w:before="72" w:after="0" w:line="278" w:lineRule="auto"/>
        <w:ind w:left="358" w:right="406" w:firstLine="0"/>
        <w:jc w:val="left"/>
        <w:rPr>
          <w:sz w:val="21"/>
        </w:rPr>
      </w:pPr>
      <w:r>
        <w:rPr>
          <w:rFonts w:hint="eastAsia"/>
          <w:sz w:val="21"/>
          <w:lang w:eastAsia="zh-CN"/>
        </w:rPr>
        <w:t>按照四川省“好差评”工作部署和广元市政府服务“好差评”实施方案，一件一评、即办即评，并落实评价、整改、反馈和结果运用。</w:t>
      </w:r>
    </w:p>
    <w:p>
      <w:pPr>
        <w:pStyle w:val="8"/>
        <w:numPr>
          <w:ilvl w:val="2"/>
          <w:numId w:val="4"/>
        </w:numPr>
        <w:tabs>
          <w:tab w:val="left" w:pos="1093"/>
          <w:tab w:val="left" w:pos="1094"/>
        </w:tabs>
        <w:spacing w:before="72" w:after="0" w:line="278" w:lineRule="auto"/>
        <w:ind w:left="358" w:right="406" w:firstLine="0"/>
        <w:jc w:val="left"/>
        <w:rPr>
          <w:sz w:val="21"/>
        </w:rPr>
      </w:pPr>
      <w:r>
        <w:rPr>
          <w:spacing w:val="-3"/>
          <w:sz w:val="21"/>
        </w:rPr>
        <w:t>采取自我评价、申请人满意度评价、第三方评价或多方评价，以及国家</w:t>
      </w:r>
      <w:r>
        <w:rPr>
          <w:rFonts w:hint="eastAsia"/>
          <w:spacing w:val="-3"/>
          <w:sz w:val="21"/>
          <w:lang w:eastAsia="zh-CN"/>
        </w:rPr>
        <w:t>、四川省</w:t>
      </w:r>
      <w:r>
        <w:rPr>
          <w:spacing w:val="-3"/>
          <w:sz w:val="21"/>
        </w:rPr>
        <w:t>统一开展的营商环境评价方式</w:t>
      </w:r>
      <w:r>
        <w:rPr>
          <w:rFonts w:hint="eastAsia"/>
          <w:spacing w:val="-3"/>
          <w:sz w:val="21"/>
          <w:lang w:eastAsia="zh-CN"/>
        </w:rPr>
        <w:t>，</w:t>
      </w:r>
      <w:r>
        <w:rPr>
          <w:spacing w:val="-3"/>
          <w:sz w:val="21"/>
        </w:rPr>
        <w:t>并依据</w:t>
      </w:r>
      <w:r>
        <w:rPr>
          <w:rFonts w:hint="eastAsia"/>
          <w:spacing w:val="-3"/>
          <w:sz w:val="21"/>
          <w:lang w:eastAsia="zh-CN"/>
        </w:rPr>
        <w:t>评价</w:t>
      </w:r>
      <w:r>
        <w:rPr>
          <w:spacing w:val="-3"/>
          <w:sz w:val="21"/>
        </w:rPr>
        <w:t>结果优化流程、持续提高企业开办实施质量。</w:t>
      </w:r>
    </w:p>
    <w:p>
      <w:pPr>
        <w:pStyle w:val="8"/>
        <w:numPr>
          <w:ilvl w:val="0"/>
          <w:numId w:val="0"/>
        </w:numPr>
        <w:tabs>
          <w:tab w:val="left" w:pos="1093"/>
          <w:tab w:val="left" w:pos="1094"/>
        </w:tabs>
        <w:spacing w:before="0" w:after="0" w:line="278" w:lineRule="auto"/>
        <w:ind w:left="358" w:leftChars="0" w:right="406" w:rightChars="0"/>
        <w:jc w:val="left"/>
        <w:rPr>
          <w:sz w:val="21"/>
        </w:rPr>
      </w:pPr>
    </w:p>
    <w:p>
      <w:pPr>
        <w:pStyle w:val="8"/>
        <w:numPr>
          <w:ilvl w:val="1"/>
          <w:numId w:val="4"/>
        </w:numPr>
        <w:tabs>
          <w:tab w:val="left" w:pos="884"/>
          <w:tab w:val="left" w:pos="885"/>
        </w:tabs>
        <w:spacing w:before="155" w:after="0" w:line="240" w:lineRule="auto"/>
        <w:ind w:left="884" w:right="0" w:hanging="52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1"/>
          <w:sz w:val="21"/>
        </w:rPr>
        <w:t>持续改进</w:t>
      </w:r>
    </w:p>
    <w:p>
      <w:pPr>
        <w:pStyle w:val="4"/>
        <w:spacing w:before="12"/>
        <w:rPr>
          <w:rFonts w:ascii="黑体"/>
          <w:sz w:val="9"/>
        </w:rPr>
      </w:pPr>
    </w:p>
    <w:p>
      <w:pPr>
        <w:pStyle w:val="4"/>
        <w:spacing w:before="72" w:line="278" w:lineRule="auto"/>
        <w:ind w:left="358" w:right="406" w:firstLine="420"/>
      </w:pPr>
      <w:r>
        <w:rPr>
          <w:spacing w:val="-7"/>
        </w:rPr>
        <w:t>开办企业实施机关应畅通群众、企</w:t>
      </w:r>
      <w:r>
        <w:rPr>
          <w:spacing w:val="-5"/>
        </w:rPr>
        <w:t>业和工作人员建议渠道，</w:t>
      </w:r>
      <w:r>
        <w:rPr>
          <w:spacing w:val="-7"/>
        </w:rPr>
        <w:t>对企业开办流程、服务</w:t>
      </w:r>
      <w:r>
        <w:rPr>
          <w:rFonts w:hint="eastAsia"/>
          <w:spacing w:val="-7"/>
          <w:lang w:eastAsia="zh-CN"/>
        </w:rPr>
        <w:t>、监督、评价</w:t>
      </w:r>
      <w:r>
        <w:rPr>
          <w:spacing w:val="-7"/>
        </w:rPr>
        <w:t>等方面持续改进</w:t>
      </w:r>
      <w:r>
        <w:rPr>
          <w:rFonts w:hint="eastAsia"/>
          <w:spacing w:val="-7"/>
          <w:lang w:eastAsia="zh-CN"/>
        </w:rPr>
        <w:t>和完善</w:t>
      </w:r>
      <w:r>
        <w:rPr>
          <w:spacing w:val="-7"/>
        </w:rPr>
        <w:t>。</w:t>
      </w:r>
      <w:r>
        <w:t xml:space="preserve"> </w:t>
      </w:r>
    </w:p>
    <w:p>
      <w:pPr>
        <w:pStyle w:val="8"/>
        <w:numPr>
          <w:ilvl w:val="1"/>
          <w:numId w:val="4"/>
        </w:numPr>
        <w:tabs>
          <w:tab w:val="left" w:pos="884"/>
          <w:tab w:val="left" w:pos="885"/>
        </w:tabs>
        <w:spacing w:before="156" w:after="0" w:line="240" w:lineRule="auto"/>
        <w:ind w:left="884" w:right="0" w:hanging="527"/>
        <w:jc w:val="left"/>
        <w:rPr>
          <w:rFonts w:hint="eastAsia" w:ascii="黑体" w:eastAsia="黑体"/>
          <w:sz w:val="21"/>
        </w:rPr>
      </w:pPr>
      <w:r>
        <w:rPr>
          <w:rFonts w:hint="eastAsia" w:ascii="黑体" w:eastAsia="黑体"/>
          <w:spacing w:val="-2"/>
          <w:sz w:val="21"/>
        </w:rPr>
        <w:t>评价结果应用</w:t>
      </w:r>
    </w:p>
    <w:p>
      <w:pPr>
        <w:pStyle w:val="4"/>
        <w:spacing w:before="12"/>
        <w:rPr>
          <w:rFonts w:ascii="黑体"/>
          <w:sz w:val="9"/>
        </w:rPr>
      </w:pPr>
    </w:p>
    <w:p>
      <w:pPr>
        <w:pStyle w:val="4"/>
        <w:spacing w:before="7"/>
        <w:ind w:firstLine="840" w:firstLineChars="400"/>
      </w:pPr>
      <w:r>
        <w:t>评价结果应运用于日常考核、年度考核，纳入绩效考评和干部管理。</w:t>
      </w:r>
    </w:p>
    <w:p>
      <w:pPr>
        <w:pStyle w:val="4"/>
        <w:spacing w:before="7"/>
      </w:pPr>
    </w:p>
    <w:p>
      <w:pPr>
        <w:pStyle w:val="4"/>
        <w:spacing w:before="7"/>
      </w:pPr>
    </w:p>
    <w:p>
      <w:pPr>
        <w:pStyle w:val="4"/>
        <w:spacing w:before="7"/>
      </w:pPr>
    </w:p>
    <w:p>
      <w:pPr>
        <w:pStyle w:val="4"/>
        <w:spacing w:before="7"/>
      </w:pPr>
    </w:p>
    <w:p>
      <w:pPr>
        <w:pStyle w:val="4"/>
        <w:tabs>
          <w:tab w:val="left" w:pos="419"/>
          <w:tab w:val="left" w:pos="839"/>
          <w:tab w:val="left" w:pos="1262"/>
        </w:tabs>
        <w:spacing w:before="72"/>
        <w:ind w:right="50"/>
        <w:jc w:val="center"/>
        <w:rPr>
          <w:rFonts w:hint="eastAsia" w:ascii="黑体" w:eastAsia="黑体"/>
        </w:rPr>
      </w:pPr>
      <w:bookmarkStart w:id="15" w:name="_bookmark8"/>
      <w:bookmarkEnd w:id="15"/>
      <w:r>
        <w:rPr>
          <w:rFonts w:hint="eastAsia" w:ascii="黑体" w:eastAsia="黑体"/>
        </w:rPr>
        <w:t>参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考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文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献</w:t>
      </w:r>
    </w:p>
    <w:p>
      <w:pPr>
        <w:pStyle w:val="4"/>
        <w:spacing w:before="4"/>
        <w:rPr>
          <w:rFonts w:ascii="黑体"/>
          <w:sz w:val="15"/>
        </w:rPr>
      </w:pPr>
    </w:p>
    <w:p>
      <w:pPr>
        <w:pStyle w:val="4"/>
        <w:ind w:left="778"/>
      </w:pPr>
      <w:r>
        <w:rPr>
          <w:w w:val="100"/>
        </w:rPr>
        <w:t xml:space="preserve"> 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43" w:after="0" w:line="240" w:lineRule="auto"/>
        <w:ind w:left="1096" w:right="0" w:hanging="319"/>
        <w:jc w:val="left"/>
        <w:rPr>
          <w:spacing w:val="-15"/>
          <w:sz w:val="21"/>
        </w:rPr>
      </w:pPr>
      <w:r>
        <w:rPr>
          <w:spacing w:val="-3"/>
          <w:sz w:val="21"/>
        </w:rPr>
        <w:t>国家</w:t>
      </w:r>
      <w:r>
        <w:rPr>
          <w:spacing w:val="-15"/>
          <w:sz w:val="21"/>
        </w:rPr>
        <w:t>市场监管总局办公厅</w:t>
      </w:r>
      <w:r>
        <w:rPr>
          <w:rFonts w:hint="eastAsia"/>
          <w:spacing w:val="-15"/>
          <w:sz w:val="21"/>
          <w:lang w:eastAsia="zh-CN"/>
        </w:rPr>
        <w:t>关于贯彻落实《市场主体登记管理条例》的通知（</w:t>
      </w:r>
      <w:r>
        <w:rPr>
          <w:spacing w:val="-15"/>
          <w:sz w:val="21"/>
        </w:rPr>
        <w:t>市监注</w:t>
      </w:r>
      <w:r>
        <w:rPr>
          <w:rFonts w:hint="eastAsia"/>
          <w:spacing w:val="-15"/>
          <w:sz w:val="21"/>
          <w:lang w:eastAsia="zh-CN"/>
        </w:rPr>
        <w:t>发</w:t>
      </w:r>
      <w:r>
        <w:rPr>
          <w:spacing w:val="-15"/>
          <w:sz w:val="21"/>
        </w:rPr>
        <w:t>〔20</w:t>
      </w:r>
      <w:r>
        <w:rPr>
          <w:rFonts w:hint="eastAsia"/>
          <w:spacing w:val="-15"/>
          <w:sz w:val="21"/>
          <w:lang w:val="en-US" w:eastAsia="zh-CN"/>
        </w:rPr>
        <w:t>22</w:t>
      </w:r>
      <w:r>
        <w:rPr>
          <w:spacing w:val="-15"/>
          <w:sz w:val="21"/>
        </w:rPr>
        <w:t>〕</w:t>
      </w:r>
      <w:r>
        <w:rPr>
          <w:rFonts w:hint="eastAsia"/>
          <w:spacing w:val="-15"/>
          <w:sz w:val="21"/>
          <w:lang w:val="en-US" w:eastAsia="zh-CN"/>
        </w:rPr>
        <w:t>15</w:t>
      </w:r>
      <w:r>
        <w:rPr>
          <w:spacing w:val="-15"/>
          <w:sz w:val="21"/>
        </w:rPr>
        <w:t>号</w:t>
      </w:r>
      <w:r>
        <w:rPr>
          <w:rFonts w:hint="eastAsia"/>
          <w:spacing w:val="-15"/>
          <w:sz w:val="21"/>
          <w:lang w:eastAsia="zh-CN"/>
        </w:rPr>
        <w:t>）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43" w:after="0" w:line="240" w:lineRule="auto"/>
        <w:ind w:left="1096" w:right="0" w:hanging="319"/>
        <w:jc w:val="left"/>
        <w:rPr>
          <w:sz w:val="21"/>
        </w:rPr>
      </w:pPr>
      <w:r>
        <w:rPr>
          <w:spacing w:val="-15"/>
          <w:sz w:val="21"/>
        </w:rPr>
        <w:t>国家市场监管总局《关于印发〈</w:t>
      </w:r>
      <w:r>
        <w:rPr>
          <w:rFonts w:hint="eastAsia"/>
          <w:spacing w:val="-15"/>
          <w:sz w:val="21"/>
          <w:lang w:eastAsia="zh-CN"/>
        </w:rPr>
        <w:t>市场主体</w:t>
      </w:r>
      <w:r>
        <w:rPr>
          <w:spacing w:val="-15"/>
          <w:sz w:val="21"/>
        </w:rPr>
        <w:t>登记文书规范〉〈</w:t>
      </w:r>
      <w:r>
        <w:rPr>
          <w:rFonts w:hint="eastAsia"/>
          <w:spacing w:val="-15"/>
          <w:sz w:val="21"/>
          <w:lang w:eastAsia="zh-CN"/>
        </w:rPr>
        <w:t>市场主体</w:t>
      </w:r>
      <w:r>
        <w:rPr>
          <w:spacing w:val="-15"/>
          <w:sz w:val="21"/>
        </w:rPr>
        <w:t>登记提交材料规范〉的通知》</w:t>
      </w:r>
    </w:p>
    <w:p>
      <w:pPr>
        <w:pStyle w:val="4"/>
        <w:spacing w:before="43"/>
        <w:ind w:left="358"/>
      </w:pPr>
      <w:r>
        <w:t>（国市监注</w:t>
      </w:r>
      <w:r>
        <w:rPr>
          <w:rFonts w:hint="eastAsia"/>
          <w:lang w:eastAsia="zh-CN"/>
        </w:rPr>
        <w:t>发</w:t>
      </w:r>
      <w:r>
        <w:t>〔20</w:t>
      </w:r>
      <w:r>
        <w:rPr>
          <w:rFonts w:hint="eastAsia"/>
          <w:lang w:val="en-US" w:eastAsia="zh-CN"/>
        </w:rPr>
        <w:t>22</w:t>
      </w:r>
      <w:r>
        <w:t>〕2</w:t>
      </w:r>
      <w:r>
        <w:rPr>
          <w:rFonts w:hint="eastAsia"/>
          <w:lang w:val="en-US" w:eastAsia="zh-CN"/>
        </w:rPr>
        <w:t>4</w:t>
      </w:r>
      <w:r>
        <w:t>号）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43" w:after="0" w:line="278" w:lineRule="auto"/>
        <w:ind w:left="358" w:right="406" w:firstLine="420"/>
        <w:jc w:val="left"/>
        <w:rPr>
          <w:sz w:val="21"/>
        </w:rPr>
      </w:pPr>
      <w:r>
        <w:rPr>
          <w:rFonts w:hint="eastAsia"/>
          <w:sz w:val="21"/>
          <w:lang w:eastAsia="zh-CN"/>
        </w:rPr>
        <w:t>国家</w:t>
      </w:r>
      <w:r>
        <w:rPr>
          <w:rFonts w:hint="eastAsia"/>
          <w:sz w:val="21"/>
        </w:rPr>
        <w:t>市场监管总局等六部门</w:t>
      </w:r>
      <w:r>
        <w:rPr>
          <w:rFonts w:hint="eastAsia"/>
          <w:sz w:val="21"/>
          <w:lang w:eastAsia="zh-CN"/>
        </w:rPr>
        <w:t>《</w:t>
      </w:r>
      <w:r>
        <w:rPr>
          <w:rFonts w:hint="eastAsia"/>
          <w:sz w:val="21"/>
        </w:rPr>
        <w:t>关于进一步加大改革力度不断提升企业开办服务水平的通知</w:t>
      </w:r>
      <w:r>
        <w:rPr>
          <w:rFonts w:hint="eastAsia"/>
          <w:sz w:val="21"/>
          <w:lang w:eastAsia="zh-CN"/>
        </w:rPr>
        <w:t>》</w:t>
      </w:r>
      <w:r>
        <w:rPr>
          <w:rFonts w:hint="eastAsia"/>
          <w:sz w:val="21"/>
          <w:lang w:val="en-US" w:eastAsia="zh-CN"/>
        </w:rPr>
        <w:t>(</w:t>
      </w:r>
      <w:r>
        <w:rPr>
          <w:rFonts w:hint="eastAsia"/>
          <w:sz w:val="21"/>
        </w:rPr>
        <w:t>国市监注发〔2021〕</w:t>
      </w:r>
      <w:r>
        <w:rPr>
          <w:rFonts w:hint="eastAsia"/>
          <w:sz w:val="21"/>
          <w:lang w:val="en-US" w:eastAsia="zh-CN"/>
        </w:rPr>
        <w:t>44</w:t>
      </w:r>
      <w:r>
        <w:rPr>
          <w:rFonts w:hint="eastAsia"/>
          <w:sz w:val="21"/>
        </w:rPr>
        <w:t>号</w:t>
      </w:r>
      <w:r>
        <w:rPr>
          <w:rFonts w:hint="eastAsia"/>
          <w:sz w:val="21"/>
          <w:lang w:val="en-US" w:eastAsia="zh-CN"/>
        </w:rPr>
        <w:t>)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43" w:after="0" w:line="278" w:lineRule="auto"/>
        <w:ind w:left="358" w:right="406" w:firstLine="420"/>
        <w:jc w:val="left"/>
        <w:rPr>
          <w:rFonts w:hint="eastAsia"/>
          <w:sz w:val="21"/>
          <w:lang w:eastAsia="zh-CN"/>
        </w:rPr>
      </w:pPr>
      <w:r>
        <w:rPr>
          <w:rFonts w:hint="eastAsia"/>
          <w:sz w:val="21"/>
          <w:lang w:eastAsia="zh-CN"/>
        </w:rPr>
        <w:t xml:space="preserve">国家市场监管总局《关于推进市场监管部门行政许可服务便民化的通知》（市监注〔2019〕10号） 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0" w:after="0" w:line="278" w:lineRule="auto"/>
        <w:ind w:left="358" w:right="406" w:firstLine="420"/>
        <w:jc w:val="left"/>
        <w:rPr>
          <w:sz w:val="21"/>
        </w:rPr>
      </w:pPr>
      <w:r>
        <w:rPr>
          <w:spacing w:val="-12"/>
          <w:sz w:val="21"/>
        </w:rPr>
        <w:t>国家</w:t>
      </w:r>
      <w:r>
        <w:rPr>
          <w:rFonts w:hint="eastAsia"/>
          <w:spacing w:val="-12"/>
          <w:sz w:val="21"/>
          <w:lang w:eastAsia="zh-CN"/>
        </w:rPr>
        <w:t>市场</w:t>
      </w:r>
      <w:r>
        <w:rPr>
          <w:spacing w:val="-12"/>
          <w:sz w:val="21"/>
        </w:rPr>
        <w:t>监管总局《关于做好企业登记身份信息管理信息化建设工作的通知</w:t>
      </w:r>
      <w:r>
        <w:rPr>
          <w:spacing w:val="-207"/>
          <w:sz w:val="21"/>
        </w:rPr>
        <w:t>》</w:t>
      </w:r>
      <w:r>
        <w:rPr>
          <w:sz w:val="21"/>
        </w:rPr>
        <w:t>（</w:t>
      </w:r>
      <w:r>
        <w:rPr>
          <w:spacing w:val="-23"/>
          <w:sz w:val="21"/>
        </w:rPr>
        <w:t>企注函字〔</w:t>
      </w:r>
      <w:r>
        <w:rPr>
          <w:sz w:val="21"/>
        </w:rPr>
        <w:t>2018〕158</w:t>
      </w:r>
      <w:r>
        <w:rPr>
          <w:spacing w:val="-3"/>
          <w:sz w:val="21"/>
        </w:rPr>
        <w:t>号）</w:t>
      </w:r>
      <w:r>
        <w:rPr>
          <w:sz w:val="21"/>
        </w:rPr>
        <w:t xml:space="preserve"> 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0" w:after="0" w:line="278" w:lineRule="auto"/>
        <w:ind w:left="358" w:right="406" w:firstLine="420"/>
        <w:jc w:val="left"/>
        <w:rPr>
          <w:sz w:val="21"/>
        </w:rPr>
      </w:pPr>
      <w:r>
        <w:rPr>
          <w:spacing w:val="-14"/>
          <w:sz w:val="21"/>
        </w:rPr>
        <w:t>四川省市场监管局《关于全省企业开办“一窗通”平台上线运行的通知》</w:t>
      </w:r>
      <w:r>
        <w:rPr>
          <w:sz w:val="21"/>
        </w:rPr>
        <w:t>（</w:t>
      </w:r>
      <w:r>
        <w:rPr>
          <w:spacing w:val="-9"/>
          <w:sz w:val="21"/>
        </w:rPr>
        <w:t>川市监函〔</w:t>
      </w:r>
      <w:r>
        <w:rPr>
          <w:sz w:val="21"/>
        </w:rPr>
        <w:t>2018〕413</w:t>
      </w:r>
      <w:r>
        <w:rPr>
          <w:spacing w:val="-3"/>
          <w:sz w:val="21"/>
        </w:rPr>
        <w:t>号）</w:t>
      </w:r>
      <w:r>
        <w:rPr>
          <w:sz w:val="21"/>
        </w:rPr>
        <w:t xml:space="preserve"> 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0" w:after="0" w:line="278" w:lineRule="auto"/>
        <w:ind w:left="358" w:right="408" w:firstLine="420"/>
        <w:jc w:val="left"/>
        <w:rPr>
          <w:sz w:val="21"/>
        </w:rPr>
      </w:pPr>
      <w:r>
        <w:rPr>
          <w:spacing w:val="-14"/>
          <w:sz w:val="21"/>
        </w:rPr>
        <w:t>四川省市场监管局《关于全面推广“营商通”掌上服务平台工作的通知》</w:t>
      </w:r>
      <w:r>
        <w:rPr>
          <w:spacing w:val="-3"/>
          <w:sz w:val="21"/>
        </w:rPr>
        <w:t>（</w:t>
      </w:r>
      <w:r>
        <w:rPr>
          <w:spacing w:val="-8"/>
          <w:sz w:val="21"/>
        </w:rPr>
        <w:t>川市监办〔</w:t>
      </w:r>
      <w:r>
        <w:rPr>
          <w:sz w:val="21"/>
        </w:rPr>
        <w:t>2020〕 31号</w:t>
      </w:r>
      <w:r>
        <w:rPr>
          <w:spacing w:val="-3"/>
          <w:sz w:val="21"/>
        </w:rPr>
        <w:t>）</w:t>
      </w:r>
      <w:r>
        <w:rPr>
          <w:sz w:val="21"/>
        </w:rPr>
        <w:t xml:space="preserve"> 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0" w:after="0" w:line="278" w:lineRule="auto"/>
        <w:ind w:left="358" w:right="406" w:firstLine="420"/>
        <w:jc w:val="left"/>
        <w:rPr>
          <w:sz w:val="21"/>
        </w:rPr>
      </w:pPr>
      <w:r>
        <w:rPr>
          <w:sz w:val="21"/>
        </w:rPr>
        <w:t>四川省市场监管局《关于实施企业登记身份信息管理工作的通知》（</w:t>
      </w:r>
      <w:r>
        <w:rPr>
          <w:spacing w:val="2"/>
          <w:sz w:val="21"/>
        </w:rPr>
        <w:t>川市监函〔</w:t>
      </w:r>
      <w:r>
        <w:rPr>
          <w:sz w:val="21"/>
        </w:rPr>
        <w:t>2019〕</w:t>
      </w:r>
      <w:r>
        <w:rPr>
          <w:spacing w:val="-5"/>
          <w:sz w:val="21"/>
        </w:rPr>
        <w:t>350</w:t>
      </w:r>
      <w:r>
        <w:rPr>
          <w:sz w:val="21"/>
        </w:rPr>
        <w:t>号</w:t>
      </w:r>
      <w:r>
        <w:rPr>
          <w:spacing w:val="-3"/>
          <w:sz w:val="21"/>
        </w:rPr>
        <w:t>）</w:t>
      </w:r>
      <w:r>
        <w:rPr>
          <w:sz w:val="21"/>
        </w:rPr>
        <w:t xml:space="preserve"> 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0" w:after="0" w:line="278" w:lineRule="auto"/>
        <w:ind w:left="358" w:right="408" w:firstLine="420"/>
        <w:jc w:val="left"/>
        <w:rPr>
          <w:rFonts w:ascii="宋体" w:hAnsi="宋体" w:eastAsia="宋体" w:cs="宋体"/>
          <w:sz w:val="21"/>
        </w:rPr>
      </w:pPr>
      <w:r>
        <w:rPr>
          <w:rFonts w:hint="eastAsia" w:ascii="宋体" w:hAnsi="宋体" w:eastAsia="宋体" w:cs="宋体"/>
          <w:sz w:val="21"/>
        </w:rPr>
        <w:t>四川省市场监督管理局</w:t>
      </w:r>
      <w:r>
        <w:rPr>
          <w:rFonts w:hint="eastAsia" w:cs="宋体"/>
          <w:sz w:val="21"/>
          <w:lang w:eastAsia="zh-CN"/>
        </w:rPr>
        <w:t>《</w:t>
      </w:r>
      <w:r>
        <w:rPr>
          <w:rFonts w:hint="eastAsia" w:ascii="宋体" w:hAnsi="宋体" w:eastAsia="宋体" w:cs="宋体"/>
          <w:sz w:val="21"/>
        </w:rPr>
        <w:t>关于规范统一全省市场主体登记管理工作的指导意见</w:t>
      </w:r>
      <w:r>
        <w:rPr>
          <w:rFonts w:hint="eastAsia" w:cs="宋体"/>
          <w:sz w:val="21"/>
          <w:lang w:eastAsia="zh-CN"/>
        </w:rPr>
        <w:t>》（</w:t>
      </w:r>
      <w:r>
        <w:rPr>
          <w:rFonts w:hint="eastAsia" w:ascii="宋体" w:hAnsi="宋体" w:eastAsia="宋体" w:cs="宋体"/>
          <w:sz w:val="21"/>
        </w:rPr>
        <w:t>川市监发〔2022〕35号</w:t>
      </w:r>
      <w:r>
        <w:rPr>
          <w:rFonts w:hint="eastAsia" w:cs="宋体"/>
          <w:sz w:val="21"/>
          <w:lang w:eastAsia="zh-CN"/>
        </w:rPr>
        <w:t>）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0" w:after="0" w:line="278" w:lineRule="auto"/>
        <w:ind w:left="358" w:right="406" w:firstLine="420"/>
        <w:jc w:val="left"/>
        <w:rPr>
          <w:rFonts w:ascii="宋体" w:hAnsi="宋体" w:eastAsia="宋体" w:cs="宋体"/>
          <w:sz w:val="21"/>
        </w:rPr>
      </w:pPr>
      <w:r>
        <w:rPr>
          <w:rFonts w:hint="eastAsia" w:cs="宋体"/>
          <w:sz w:val="21"/>
          <w:lang w:eastAsia="zh-CN"/>
        </w:rPr>
        <w:t>四川省大数据中心《关于印发全省第一批“一件事一次办”目录清单的函》</w:t>
      </w:r>
      <w:r>
        <w:rPr>
          <w:sz w:val="21"/>
        </w:rPr>
        <w:t>（</w:t>
      </w:r>
      <w:r>
        <w:rPr>
          <w:spacing w:val="2"/>
          <w:sz w:val="21"/>
        </w:rPr>
        <w:t>川</w:t>
      </w:r>
      <w:r>
        <w:rPr>
          <w:rFonts w:hint="eastAsia"/>
          <w:spacing w:val="2"/>
          <w:sz w:val="21"/>
          <w:lang w:eastAsia="zh-CN"/>
        </w:rPr>
        <w:t>数中心函</w:t>
      </w:r>
      <w:r>
        <w:rPr>
          <w:spacing w:val="2"/>
          <w:sz w:val="21"/>
        </w:rPr>
        <w:t>〔</w:t>
      </w:r>
      <w:r>
        <w:rPr>
          <w:sz w:val="21"/>
        </w:rPr>
        <w:t>20</w:t>
      </w:r>
      <w:r>
        <w:rPr>
          <w:rFonts w:hint="eastAsia"/>
          <w:sz w:val="21"/>
          <w:lang w:val="en-US" w:eastAsia="zh-CN"/>
        </w:rPr>
        <w:t>21</w:t>
      </w:r>
      <w:r>
        <w:rPr>
          <w:sz w:val="21"/>
        </w:rPr>
        <w:t>〕</w:t>
      </w:r>
      <w:r>
        <w:rPr>
          <w:rFonts w:hint="eastAsia"/>
          <w:sz w:val="21"/>
          <w:lang w:val="en-US" w:eastAsia="zh-CN"/>
        </w:rPr>
        <w:t>199</w:t>
      </w:r>
      <w:r>
        <w:rPr>
          <w:sz w:val="21"/>
        </w:rPr>
        <w:t>号</w:t>
      </w:r>
      <w:r>
        <w:rPr>
          <w:spacing w:val="-3"/>
          <w:sz w:val="21"/>
        </w:rPr>
        <w:t>）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0" w:after="0" w:line="278" w:lineRule="auto"/>
        <w:ind w:left="358" w:right="406" w:firstLine="420"/>
        <w:jc w:val="left"/>
        <w:rPr>
          <w:rFonts w:ascii="宋体" w:hAnsi="宋体" w:eastAsia="宋体" w:cs="宋体"/>
          <w:sz w:val="21"/>
        </w:rPr>
      </w:pPr>
      <w:r>
        <w:rPr>
          <w:rFonts w:hint="eastAsia"/>
          <w:spacing w:val="-3"/>
          <w:sz w:val="21"/>
          <w:lang w:eastAsia="zh-CN"/>
        </w:rPr>
        <w:t>广元市人民政府办公室关于印发《广元市网上政务服务能力提升方案》的通知（</w:t>
      </w:r>
      <w:r>
        <w:rPr>
          <w:rFonts w:hint="eastAsia" w:ascii="宋体" w:hAnsi="宋体" w:eastAsia="宋体" w:cs="宋体"/>
          <w:sz w:val="21"/>
        </w:rPr>
        <w:t>〔202</w:t>
      </w:r>
      <w:r>
        <w:rPr>
          <w:rFonts w:hint="eastAsia" w:cs="宋体"/>
          <w:sz w:val="21"/>
          <w:lang w:val="en-US" w:eastAsia="zh-CN"/>
        </w:rPr>
        <w:t>0</w:t>
      </w:r>
      <w:r>
        <w:rPr>
          <w:rFonts w:hint="eastAsia" w:ascii="宋体" w:hAnsi="宋体" w:eastAsia="宋体" w:cs="宋体"/>
          <w:sz w:val="21"/>
        </w:rPr>
        <w:t>〕</w:t>
      </w:r>
      <w:r>
        <w:rPr>
          <w:rFonts w:hint="eastAsia" w:cs="宋体"/>
          <w:sz w:val="21"/>
          <w:lang w:val="en-US" w:eastAsia="zh-CN"/>
        </w:rPr>
        <w:t>130号</w:t>
      </w:r>
      <w:r>
        <w:rPr>
          <w:rFonts w:hint="eastAsia"/>
          <w:spacing w:val="-3"/>
          <w:sz w:val="21"/>
          <w:lang w:eastAsia="zh-CN"/>
        </w:rPr>
        <w:t>）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0" w:after="0" w:line="278" w:lineRule="auto"/>
        <w:ind w:left="358" w:right="408" w:firstLine="420"/>
        <w:jc w:val="left"/>
        <w:rPr>
          <w:rFonts w:ascii="宋体" w:hAnsi="宋体" w:eastAsia="宋体" w:cs="宋体"/>
          <w:sz w:val="21"/>
        </w:rPr>
      </w:pPr>
      <w:r>
        <w:rPr>
          <w:rFonts w:hint="eastAsia"/>
          <w:spacing w:val="-3"/>
          <w:sz w:val="21"/>
          <w:lang w:eastAsia="zh-CN"/>
        </w:rPr>
        <w:t>广元</w:t>
      </w:r>
      <w:r>
        <w:rPr>
          <w:spacing w:val="-3"/>
          <w:sz w:val="21"/>
        </w:rPr>
        <w:t>市市场</w:t>
      </w:r>
      <w:r>
        <w:rPr>
          <w:rFonts w:hint="eastAsia" w:cs="宋体"/>
          <w:sz w:val="21"/>
          <w:lang w:eastAsia="zh-CN"/>
        </w:rPr>
        <w:t>监督管理</w:t>
      </w:r>
      <w:r>
        <w:rPr>
          <w:spacing w:val="-3"/>
          <w:sz w:val="21"/>
        </w:rPr>
        <w:t>局</w:t>
      </w:r>
      <w:r>
        <w:rPr>
          <w:rFonts w:hint="eastAsia"/>
          <w:spacing w:val="-3"/>
          <w:sz w:val="21"/>
          <w:lang w:eastAsia="zh-CN"/>
        </w:rPr>
        <w:t>《关于进一步优化市场主体开办便利度的通知》</w:t>
      </w:r>
      <w:r>
        <w:rPr>
          <w:rFonts w:hint="eastAsia" w:ascii="宋体" w:hAnsi="宋体" w:eastAsia="宋体" w:cs="宋体"/>
          <w:sz w:val="21"/>
          <w:lang w:eastAsia="zh-CN"/>
        </w:rPr>
        <w:t>（</w:t>
      </w:r>
      <w:r>
        <w:rPr>
          <w:rFonts w:ascii="宋体" w:hAnsi="宋体" w:eastAsia="宋体" w:cs="宋体"/>
          <w:sz w:val="21"/>
          <w:lang w:val="en-US" w:eastAsia="zh-CN"/>
        </w:rPr>
        <w:t>广市监发〔202</w:t>
      </w:r>
      <w:r>
        <w:rPr>
          <w:rFonts w:hint="eastAsia" w:cs="宋体"/>
          <w:sz w:val="21"/>
          <w:lang w:val="en-US" w:eastAsia="zh-CN"/>
        </w:rPr>
        <w:t>2</w:t>
      </w:r>
      <w:r>
        <w:rPr>
          <w:rFonts w:ascii="宋体" w:hAnsi="宋体" w:eastAsia="宋体" w:cs="宋体"/>
          <w:sz w:val="21"/>
          <w:lang w:val="en-US" w:eastAsia="zh-CN"/>
        </w:rPr>
        <w:t>〕</w:t>
      </w:r>
      <w:r>
        <w:rPr>
          <w:rFonts w:hint="eastAsia" w:cs="宋体"/>
          <w:sz w:val="21"/>
          <w:lang w:val="en-US" w:eastAsia="zh-CN"/>
        </w:rPr>
        <w:t>67</w:t>
      </w:r>
      <w:r>
        <w:rPr>
          <w:rFonts w:ascii="宋体" w:hAnsi="宋体" w:eastAsia="宋体" w:cs="宋体"/>
          <w:sz w:val="21"/>
          <w:lang w:val="en-US" w:eastAsia="zh-CN"/>
        </w:rPr>
        <w:t>号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0" w:after="0" w:line="278" w:lineRule="auto"/>
        <w:ind w:left="358" w:right="408" w:firstLine="420"/>
        <w:jc w:val="left"/>
        <w:rPr>
          <w:rFonts w:ascii="宋体" w:hAnsi="宋体" w:eastAsia="宋体" w:cs="宋体"/>
          <w:sz w:val="21"/>
        </w:rPr>
      </w:pPr>
      <w:r>
        <w:rPr>
          <w:rFonts w:hint="eastAsia"/>
          <w:spacing w:val="-3"/>
          <w:sz w:val="21"/>
          <w:lang w:eastAsia="zh-CN"/>
        </w:rPr>
        <w:t>广元</w:t>
      </w:r>
      <w:r>
        <w:rPr>
          <w:spacing w:val="-3"/>
          <w:sz w:val="21"/>
        </w:rPr>
        <w:t>市市场</w:t>
      </w:r>
      <w:r>
        <w:rPr>
          <w:rFonts w:hint="eastAsia" w:cs="宋体"/>
          <w:sz w:val="21"/>
          <w:lang w:eastAsia="zh-CN"/>
        </w:rPr>
        <w:t>监督管理</w:t>
      </w:r>
      <w:r>
        <w:rPr>
          <w:spacing w:val="-3"/>
          <w:sz w:val="21"/>
        </w:rPr>
        <w:t>局等</w:t>
      </w:r>
      <w:r>
        <w:rPr>
          <w:sz w:val="21"/>
        </w:rPr>
        <w:t>7</w:t>
      </w:r>
      <w:r>
        <w:rPr>
          <w:spacing w:val="-12"/>
          <w:sz w:val="21"/>
        </w:rPr>
        <w:t>部门《</w:t>
      </w:r>
      <w:r>
        <w:rPr>
          <w:rFonts w:hint="eastAsia"/>
          <w:spacing w:val="-12"/>
          <w:sz w:val="21"/>
        </w:rPr>
        <w:t>关于持续提升企业开办便利化水平的通知</w:t>
      </w:r>
      <w:r>
        <w:rPr>
          <w:spacing w:val="-10"/>
          <w:sz w:val="21"/>
        </w:rPr>
        <w:t>》</w:t>
      </w:r>
      <w:r>
        <w:rPr>
          <w:rFonts w:hint="eastAsia" w:ascii="宋体" w:hAnsi="宋体" w:eastAsia="宋体" w:cs="宋体"/>
          <w:sz w:val="21"/>
          <w:lang w:eastAsia="zh-CN"/>
        </w:rPr>
        <w:t>（</w:t>
      </w:r>
      <w:r>
        <w:rPr>
          <w:rFonts w:ascii="宋体" w:hAnsi="宋体" w:eastAsia="宋体" w:cs="宋体"/>
          <w:sz w:val="21"/>
          <w:lang w:val="en-US" w:eastAsia="zh-CN"/>
        </w:rPr>
        <w:t>广市监发〔2021〕80号</w:t>
      </w:r>
    </w:p>
    <w:p>
      <w:pPr>
        <w:pStyle w:val="8"/>
        <w:numPr>
          <w:ilvl w:val="0"/>
          <w:numId w:val="5"/>
        </w:numPr>
        <w:tabs>
          <w:tab w:val="left" w:pos="1097"/>
        </w:tabs>
        <w:spacing w:before="0" w:after="0" w:line="278" w:lineRule="auto"/>
        <w:ind w:left="358" w:right="408" w:firstLine="420"/>
        <w:jc w:val="left"/>
        <w:rPr>
          <w:rFonts w:ascii="宋体" w:hAnsi="宋体" w:eastAsia="宋体" w:cs="宋体"/>
          <w:sz w:val="21"/>
        </w:rPr>
      </w:pPr>
      <w:r>
        <w:rPr>
          <w:rFonts w:hint="eastAsia" w:cs="宋体"/>
          <w:sz w:val="21"/>
          <w:lang w:eastAsia="zh-CN"/>
        </w:rPr>
        <w:t>广元市市场监督管理局《关于推进企业登记“容缺受理”工作的通知》</w:t>
      </w:r>
      <w:r>
        <w:rPr>
          <w:rFonts w:hint="eastAsia" w:ascii="宋体" w:hAnsi="宋体" w:eastAsia="宋体" w:cs="宋体"/>
          <w:sz w:val="21"/>
          <w:lang w:eastAsia="zh-CN"/>
        </w:rPr>
        <w:t>（</w:t>
      </w:r>
      <w:r>
        <w:rPr>
          <w:rFonts w:ascii="宋体" w:hAnsi="宋体" w:eastAsia="宋体" w:cs="宋体"/>
          <w:sz w:val="21"/>
          <w:lang w:val="en-US" w:eastAsia="zh-CN"/>
        </w:rPr>
        <w:t>广市监发〔202</w:t>
      </w:r>
      <w:r>
        <w:rPr>
          <w:rFonts w:hint="eastAsia" w:cs="宋体"/>
          <w:sz w:val="21"/>
          <w:lang w:val="en-US" w:eastAsia="zh-CN"/>
        </w:rPr>
        <w:t>0</w:t>
      </w:r>
      <w:r>
        <w:rPr>
          <w:rFonts w:ascii="宋体" w:hAnsi="宋体" w:eastAsia="宋体" w:cs="宋体"/>
          <w:sz w:val="21"/>
          <w:lang w:val="en-US" w:eastAsia="zh-CN"/>
        </w:rPr>
        <w:t>〕</w:t>
      </w:r>
      <w:r>
        <w:rPr>
          <w:rFonts w:hint="eastAsia" w:cs="宋体"/>
          <w:sz w:val="21"/>
          <w:lang w:val="en-US" w:eastAsia="zh-CN"/>
        </w:rPr>
        <w:t>22</w:t>
      </w:r>
      <w:r>
        <w:rPr>
          <w:rFonts w:ascii="宋体" w:hAnsi="宋体" w:eastAsia="宋体" w:cs="宋体"/>
          <w:sz w:val="21"/>
          <w:lang w:val="en-US" w:eastAsia="zh-CN"/>
        </w:rPr>
        <w:t>号</w:t>
      </w:r>
    </w:p>
    <w:p>
      <w:pPr>
        <w:pStyle w:val="8"/>
        <w:numPr>
          <w:ilvl w:val="0"/>
          <w:numId w:val="0"/>
        </w:numPr>
        <w:tabs>
          <w:tab w:val="left" w:pos="1097"/>
        </w:tabs>
        <w:spacing w:before="0" w:after="0" w:line="278" w:lineRule="auto"/>
        <w:ind w:left="778" w:leftChars="0" w:right="408" w:rightChars="0"/>
        <w:jc w:val="left"/>
        <w:rPr>
          <w:rFonts w:ascii="宋体" w:hAnsi="宋体" w:eastAsia="宋体" w:cs="宋体"/>
          <w:sz w:val="21"/>
        </w:rPr>
      </w:pPr>
    </w:p>
    <w:p>
      <w:pPr>
        <w:pStyle w:val="8"/>
        <w:numPr>
          <w:ilvl w:val="0"/>
          <w:numId w:val="0"/>
        </w:numPr>
        <w:tabs>
          <w:tab w:val="left" w:pos="1097"/>
        </w:tabs>
        <w:spacing w:before="0" w:after="0" w:line="278" w:lineRule="auto"/>
        <w:ind w:left="778" w:leftChars="0" w:right="408" w:rightChars="0"/>
        <w:jc w:val="left"/>
        <w:rPr>
          <w:rFonts w:ascii="宋体" w:hAnsi="宋体" w:eastAsia="宋体" w:cs="宋体"/>
          <w:sz w:val="21"/>
        </w:rPr>
      </w:pPr>
    </w:p>
    <w:p>
      <w:pPr>
        <w:pStyle w:val="8"/>
        <w:widowControl w:val="0"/>
        <w:numPr>
          <w:ilvl w:val="0"/>
          <w:numId w:val="0"/>
        </w:numPr>
        <w:tabs>
          <w:tab w:val="left" w:pos="1097"/>
        </w:tabs>
        <w:autoSpaceDE w:val="0"/>
        <w:autoSpaceDN w:val="0"/>
        <w:spacing w:before="0" w:after="0" w:line="278" w:lineRule="auto"/>
        <w:ind w:right="408" w:rightChars="0"/>
        <w:jc w:val="left"/>
        <w:rPr>
          <w:rFonts w:ascii="宋体" w:hAnsi="宋体" w:eastAsia="宋体" w:cs="宋体"/>
          <w:sz w:val="21"/>
        </w:rPr>
      </w:pPr>
    </w:p>
    <w:p>
      <w:pPr>
        <w:pStyle w:val="8"/>
        <w:widowControl w:val="0"/>
        <w:numPr>
          <w:ilvl w:val="0"/>
          <w:numId w:val="0"/>
        </w:numPr>
        <w:tabs>
          <w:tab w:val="left" w:pos="1097"/>
        </w:tabs>
        <w:autoSpaceDE w:val="0"/>
        <w:autoSpaceDN w:val="0"/>
        <w:spacing w:before="0" w:after="0" w:line="278" w:lineRule="auto"/>
        <w:ind w:right="408" w:rightChars="0"/>
        <w:jc w:val="left"/>
        <w:rPr>
          <w:rFonts w:ascii="宋体" w:hAnsi="宋体" w:eastAsia="宋体" w:cs="宋体"/>
          <w:sz w:val="21"/>
        </w:rPr>
      </w:pPr>
    </w:p>
    <w:sectPr>
      <w:footerReference r:id="rId7" w:type="default"/>
      <w:pgSz w:w="11910" w:h="16840"/>
      <w:pgMar w:top="1701" w:right="1474" w:bottom="1701" w:left="1587" w:header="1448" w:footer="114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6626860</wp:posOffset>
              </wp:positionH>
              <wp:positionV relativeFrom="page">
                <wp:posOffset>9827895</wp:posOffset>
              </wp:positionV>
              <wp:extent cx="140970" cy="139700"/>
              <wp:effectExtent l="0" t="0" r="0" b="0"/>
              <wp:wrapNone/>
              <wp:docPr id="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97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0" w:lineRule="exact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I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521.8pt;margin-top:773.85pt;height:11pt;width:11.1pt;mso-position-horizontal-relative:page;mso-position-vertical-relative:page;z-index:-251656192;mso-width-relative:page;mso-height-relative:page;" filled="f" stroked="f" coordsize="21600,21600" o:gfxdata="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WZHN3NwAAAAPAQAADwAAAAAAAAABACAAAAAiAAAAZHJzL2Rvd25yZXYueG1sUEsB&#10;AhQAFAAAAAgAh07iQM6h3Vm4AQAAcQMAAA4AAAAAAAAAAQAgAAAAK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0" w:lineRule="exact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I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6614160</wp:posOffset>
              </wp:positionH>
              <wp:positionV relativeFrom="page">
                <wp:posOffset>9827895</wp:posOffset>
              </wp:positionV>
              <wp:extent cx="153670" cy="139700"/>
              <wp:effectExtent l="0" t="0" r="0" b="0"/>
              <wp:wrapNone/>
              <wp:docPr id="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67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0" w:lineRule="exact"/>
                            <w:ind w:left="4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520.8pt;margin-top:773.85pt;height:11pt;width:12.1pt;mso-position-horizontal-relative:page;mso-position-vertical-relative:page;z-index:-251655168;mso-width-relative:page;mso-height-relative:page;" filled="f" stroked="f" coordsize="21600,21600" o:gfxdata="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Pqk3g/bAAAADwEAAA8AAAAAAAAAAQAgAAAAIgAAAGRycy9kb3ducmV2LnhtbFBL&#10;AQIUABQAAAAIAIdO4kBJYS1hugEAAHEDAAAOAAAAAAAAAAEAIAAAACo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0" w:lineRule="exact"/>
                      <w:ind w:left="40" w:right="0" w:firstLine="0"/>
                      <w:jc w:val="left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5427345</wp:posOffset>
              </wp:positionH>
              <wp:positionV relativeFrom="page">
                <wp:posOffset>906780</wp:posOffset>
              </wp:positionV>
              <wp:extent cx="1428115" cy="160020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811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spacing w:line="251" w:lineRule="exact"/>
                            <w:ind w:left="20"/>
                            <w:rPr>
                              <w:rFonts w:ascii="黑体" w:hAnsi="黑体"/>
                            </w:rPr>
                          </w:pPr>
                          <w:r>
                            <w:rPr>
                              <w:rFonts w:ascii="黑体" w:hAnsi="黑体"/>
                            </w:rPr>
                            <w:t>DB 5106 /T XXXX</w:t>
                          </w:r>
                          <w:r>
                            <w:t>—</w:t>
                          </w:r>
                          <w:r>
                            <w:rPr>
                              <w:rFonts w:ascii="黑体" w:hAnsi="黑体"/>
                            </w:rPr>
                            <w:t>XXXX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427.35pt;margin-top:71.4pt;height:12.6pt;width:112.45pt;mso-position-horizontal-relative:page;mso-position-vertical-relative:page;z-index:-251657216;mso-width-relative:page;mso-height-relative:page;" filled="f" stroked="f" coordsize="21600,21600" o:gfxdata="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Ri/V7NoAAAAMAQAADwAAAAAAAAABACAAAAAiAAAAZHJzL2Rvd25yZXYueG1sUEsB&#10;AhQAFAAAAAgAh07iQJUupgy6AQAAcgMAAA4AAAAAAAAAAQAgAAAAK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spacing w:line="251" w:lineRule="exact"/>
                      <w:ind w:left="20"/>
                      <w:rPr>
                        <w:rFonts w:ascii="黑体" w:hAnsi="黑体"/>
                      </w:rPr>
                    </w:pPr>
                    <w:r>
                      <w:rPr>
                        <w:rFonts w:ascii="黑体" w:hAnsi="黑体"/>
                      </w:rPr>
                      <w:t>DB 5106 /T XXXX</w:t>
                    </w:r>
                    <w:r>
                      <w:t>—</w:t>
                    </w:r>
                    <w:r>
                      <w:rPr>
                        <w:rFonts w:ascii="黑体" w:hAnsi="黑体"/>
                      </w:rPr>
                      <w:t>XXXX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[%1]"/>
      <w:lvlJc w:val="left"/>
      <w:pPr>
        <w:ind w:left="1096" w:hanging="318"/>
        <w:jc w:val="left"/>
      </w:pPr>
      <w:rPr>
        <w:rFonts w:hint="default" w:ascii="宋体" w:hAnsi="宋体" w:eastAsia="宋体" w:cs="宋体"/>
        <w:spacing w:val="-82"/>
        <w:w w:val="100"/>
        <w:sz w:val="19"/>
        <w:szCs w:val="19"/>
        <w:lang w:val="ca-ES" w:eastAsia="ca-ES" w:bidi="ca-ES"/>
      </w:rPr>
    </w:lvl>
    <w:lvl w:ilvl="1" w:tentative="0">
      <w:start w:val="0"/>
      <w:numFmt w:val="bullet"/>
      <w:lvlText w:val="•"/>
      <w:lvlJc w:val="left"/>
      <w:pPr>
        <w:ind w:left="2002" w:hanging="318"/>
      </w:pPr>
      <w:rPr>
        <w:rFonts w:hint="default"/>
        <w:lang w:val="ca-ES" w:eastAsia="ca-ES" w:bidi="ca-ES"/>
      </w:rPr>
    </w:lvl>
    <w:lvl w:ilvl="2" w:tentative="0">
      <w:start w:val="0"/>
      <w:numFmt w:val="bullet"/>
      <w:lvlText w:val="•"/>
      <w:lvlJc w:val="left"/>
      <w:pPr>
        <w:ind w:left="2905" w:hanging="318"/>
      </w:pPr>
      <w:rPr>
        <w:rFonts w:hint="default"/>
        <w:lang w:val="ca-ES" w:eastAsia="ca-ES" w:bidi="ca-ES"/>
      </w:rPr>
    </w:lvl>
    <w:lvl w:ilvl="3" w:tentative="0">
      <w:start w:val="0"/>
      <w:numFmt w:val="bullet"/>
      <w:lvlText w:val="•"/>
      <w:lvlJc w:val="left"/>
      <w:pPr>
        <w:ind w:left="3807" w:hanging="318"/>
      </w:pPr>
      <w:rPr>
        <w:rFonts w:hint="default"/>
        <w:lang w:val="ca-ES" w:eastAsia="ca-ES" w:bidi="ca-ES"/>
      </w:rPr>
    </w:lvl>
    <w:lvl w:ilvl="4" w:tentative="0">
      <w:start w:val="0"/>
      <w:numFmt w:val="bullet"/>
      <w:lvlText w:val="•"/>
      <w:lvlJc w:val="left"/>
      <w:pPr>
        <w:ind w:left="4710" w:hanging="318"/>
      </w:pPr>
      <w:rPr>
        <w:rFonts w:hint="default"/>
        <w:lang w:val="ca-ES" w:eastAsia="ca-ES" w:bidi="ca-ES"/>
      </w:rPr>
    </w:lvl>
    <w:lvl w:ilvl="5" w:tentative="0">
      <w:start w:val="0"/>
      <w:numFmt w:val="bullet"/>
      <w:lvlText w:val="•"/>
      <w:lvlJc w:val="left"/>
      <w:pPr>
        <w:ind w:left="5613" w:hanging="318"/>
      </w:pPr>
      <w:rPr>
        <w:rFonts w:hint="default"/>
        <w:lang w:val="ca-ES" w:eastAsia="ca-ES" w:bidi="ca-ES"/>
      </w:rPr>
    </w:lvl>
    <w:lvl w:ilvl="6" w:tentative="0">
      <w:start w:val="0"/>
      <w:numFmt w:val="bullet"/>
      <w:lvlText w:val="•"/>
      <w:lvlJc w:val="left"/>
      <w:pPr>
        <w:ind w:left="6515" w:hanging="318"/>
      </w:pPr>
      <w:rPr>
        <w:rFonts w:hint="default"/>
        <w:lang w:val="ca-ES" w:eastAsia="ca-ES" w:bidi="ca-ES"/>
      </w:rPr>
    </w:lvl>
    <w:lvl w:ilvl="7" w:tentative="0">
      <w:start w:val="0"/>
      <w:numFmt w:val="bullet"/>
      <w:lvlText w:val="•"/>
      <w:lvlJc w:val="left"/>
      <w:pPr>
        <w:ind w:left="7418" w:hanging="318"/>
      </w:pPr>
      <w:rPr>
        <w:rFonts w:hint="default"/>
        <w:lang w:val="ca-ES" w:eastAsia="ca-ES" w:bidi="ca-ES"/>
      </w:rPr>
    </w:lvl>
    <w:lvl w:ilvl="8" w:tentative="0">
      <w:start w:val="0"/>
      <w:numFmt w:val="bullet"/>
      <w:lvlText w:val="•"/>
      <w:lvlJc w:val="left"/>
      <w:pPr>
        <w:ind w:left="8321" w:hanging="318"/>
      </w:pPr>
      <w:rPr>
        <w:rFonts w:hint="default"/>
        <w:lang w:val="ca-ES" w:eastAsia="ca-ES" w:bidi="ca-ES"/>
      </w:rPr>
    </w:lvl>
  </w:abstractNum>
  <w:abstractNum w:abstractNumId="1">
    <w:nsid w:val="BF205925"/>
    <w:multiLevelType w:val="multilevel"/>
    <w:tmpl w:val="BF205925"/>
    <w:lvl w:ilvl="0" w:tentative="0">
      <w:start w:val="7"/>
      <w:numFmt w:val="decimal"/>
      <w:lvlText w:val="%1"/>
      <w:lvlJc w:val="left"/>
      <w:pPr>
        <w:ind w:left="884" w:hanging="526"/>
        <w:jc w:val="left"/>
      </w:pPr>
      <w:rPr>
        <w:rFonts w:hint="default"/>
        <w:lang w:val="ca-ES" w:eastAsia="ca-ES" w:bidi="ca-ES"/>
      </w:rPr>
    </w:lvl>
    <w:lvl w:ilvl="1" w:tentative="0">
      <w:start w:val="2"/>
      <w:numFmt w:val="decimal"/>
      <w:lvlText w:val="%1.%2"/>
      <w:lvlJc w:val="left"/>
      <w:pPr>
        <w:ind w:left="884" w:hanging="526"/>
        <w:jc w:val="left"/>
      </w:pPr>
      <w:rPr>
        <w:rFonts w:hint="default" w:ascii="黑体" w:hAnsi="黑体" w:eastAsia="黑体" w:cs="黑体"/>
        <w:w w:val="100"/>
        <w:sz w:val="21"/>
        <w:szCs w:val="21"/>
        <w:lang w:val="ca-ES" w:eastAsia="ca-ES" w:bidi="ca-ES"/>
      </w:rPr>
    </w:lvl>
    <w:lvl w:ilvl="2" w:tentative="0">
      <w:start w:val="1"/>
      <w:numFmt w:val="decimal"/>
      <w:lvlText w:val="%1.%2.%3"/>
      <w:lvlJc w:val="left"/>
      <w:pPr>
        <w:ind w:left="358" w:hanging="735"/>
        <w:jc w:val="left"/>
      </w:pPr>
      <w:rPr>
        <w:rFonts w:hint="default" w:ascii="黑体" w:hAnsi="黑体" w:eastAsia="黑体" w:cs="黑体"/>
        <w:w w:val="100"/>
        <w:sz w:val="21"/>
        <w:szCs w:val="21"/>
        <w:lang w:val="ca-ES" w:eastAsia="ca-ES" w:bidi="ca-ES"/>
      </w:rPr>
    </w:lvl>
    <w:lvl w:ilvl="3" w:tentative="0">
      <w:start w:val="0"/>
      <w:numFmt w:val="bullet"/>
      <w:lvlText w:val="•"/>
      <w:lvlJc w:val="left"/>
      <w:pPr>
        <w:ind w:left="2934" w:hanging="735"/>
      </w:pPr>
      <w:rPr>
        <w:rFonts w:hint="default"/>
        <w:lang w:val="ca-ES" w:eastAsia="ca-ES" w:bidi="ca-ES"/>
      </w:rPr>
    </w:lvl>
    <w:lvl w:ilvl="4" w:tentative="0">
      <w:start w:val="0"/>
      <w:numFmt w:val="bullet"/>
      <w:lvlText w:val="•"/>
      <w:lvlJc w:val="left"/>
      <w:pPr>
        <w:ind w:left="3962" w:hanging="735"/>
      </w:pPr>
      <w:rPr>
        <w:rFonts w:hint="default"/>
        <w:lang w:val="ca-ES" w:eastAsia="ca-ES" w:bidi="ca-ES"/>
      </w:rPr>
    </w:lvl>
    <w:lvl w:ilvl="5" w:tentative="0">
      <w:start w:val="0"/>
      <w:numFmt w:val="bullet"/>
      <w:lvlText w:val="•"/>
      <w:lvlJc w:val="left"/>
      <w:pPr>
        <w:ind w:left="4989" w:hanging="735"/>
      </w:pPr>
      <w:rPr>
        <w:rFonts w:hint="default"/>
        <w:lang w:val="ca-ES" w:eastAsia="ca-ES" w:bidi="ca-ES"/>
      </w:rPr>
    </w:lvl>
    <w:lvl w:ilvl="6" w:tentative="0">
      <w:start w:val="0"/>
      <w:numFmt w:val="bullet"/>
      <w:lvlText w:val="•"/>
      <w:lvlJc w:val="left"/>
      <w:pPr>
        <w:ind w:left="6016" w:hanging="735"/>
      </w:pPr>
      <w:rPr>
        <w:rFonts w:hint="default"/>
        <w:lang w:val="ca-ES" w:eastAsia="ca-ES" w:bidi="ca-ES"/>
      </w:rPr>
    </w:lvl>
    <w:lvl w:ilvl="7" w:tentative="0">
      <w:start w:val="0"/>
      <w:numFmt w:val="bullet"/>
      <w:lvlText w:val="•"/>
      <w:lvlJc w:val="left"/>
      <w:pPr>
        <w:ind w:left="7044" w:hanging="735"/>
      </w:pPr>
      <w:rPr>
        <w:rFonts w:hint="default"/>
        <w:lang w:val="ca-ES" w:eastAsia="ca-ES" w:bidi="ca-ES"/>
      </w:rPr>
    </w:lvl>
    <w:lvl w:ilvl="8" w:tentative="0">
      <w:start w:val="0"/>
      <w:numFmt w:val="bullet"/>
      <w:lvlText w:val="•"/>
      <w:lvlJc w:val="left"/>
      <w:pPr>
        <w:ind w:left="8071" w:hanging="735"/>
      </w:pPr>
      <w:rPr>
        <w:rFonts w:hint="default"/>
        <w:lang w:val="ca-ES" w:eastAsia="ca-ES" w:bidi="ca-ES"/>
      </w:rPr>
    </w:lvl>
  </w:abstractNum>
  <w:abstractNum w:abstractNumId="2">
    <w:nsid w:val="CF092B84"/>
    <w:multiLevelType w:val="multilevel"/>
    <w:tmpl w:val="CF092B84"/>
    <w:lvl w:ilvl="0" w:tentative="0">
      <w:start w:val="4"/>
      <w:numFmt w:val="decimal"/>
      <w:lvlText w:val="%1"/>
      <w:lvlJc w:val="left"/>
      <w:pPr>
        <w:ind w:left="884" w:hanging="526"/>
        <w:jc w:val="left"/>
      </w:pPr>
      <w:rPr>
        <w:rFonts w:hint="default"/>
        <w:lang w:val="ca-ES" w:eastAsia="ca-ES" w:bidi="ca-ES"/>
      </w:rPr>
    </w:lvl>
    <w:lvl w:ilvl="1" w:tentative="0">
      <w:start w:val="2"/>
      <w:numFmt w:val="decimal"/>
      <w:lvlText w:val="%1.%2"/>
      <w:lvlJc w:val="left"/>
      <w:pPr>
        <w:ind w:left="884" w:hanging="526"/>
        <w:jc w:val="left"/>
      </w:pPr>
      <w:rPr>
        <w:rFonts w:hint="default" w:ascii="黑体" w:hAnsi="黑体" w:eastAsia="黑体" w:cs="黑体"/>
        <w:w w:val="100"/>
        <w:sz w:val="21"/>
        <w:szCs w:val="21"/>
        <w:lang w:val="ca-ES" w:eastAsia="ca-ES" w:bidi="ca-ES"/>
      </w:rPr>
    </w:lvl>
    <w:lvl w:ilvl="2" w:tentative="0">
      <w:start w:val="1"/>
      <w:numFmt w:val="decimal"/>
      <w:lvlText w:val="%1.%2.%3"/>
      <w:lvlJc w:val="left"/>
      <w:pPr>
        <w:ind w:left="1093" w:hanging="735"/>
        <w:jc w:val="left"/>
      </w:pPr>
      <w:rPr>
        <w:rFonts w:hint="default" w:ascii="黑体" w:hAnsi="黑体" w:eastAsia="黑体" w:cs="黑体"/>
        <w:w w:val="100"/>
        <w:sz w:val="21"/>
        <w:szCs w:val="21"/>
        <w:lang w:val="ca-ES" w:eastAsia="ca-ES" w:bidi="ca-ES"/>
      </w:rPr>
    </w:lvl>
    <w:lvl w:ilvl="3" w:tentative="0">
      <w:start w:val="1"/>
      <w:numFmt w:val="decimal"/>
      <w:lvlText w:val="%1.%2.%3.%4"/>
      <w:lvlJc w:val="left"/>
      <w:pPr>
        <w:ind w:left="1304" w:hanging="946"/>
        <w:jc w:val="left"/>
      </w:pPr>
      <w:rPr>
        <w:rFonts w:hint="default" w:ascii="黑体" w:hAnsi="黑体" w:eastAsia="黑体" w:cs="黑体"/>
        <w:spacing w:val="-3"/>
        <w:w w:val="100"/>
        <w:sz w:val="21"/>
        <w:szCs w:val="21"/>
        <w:lang w:val="ca-ES" w:eastAsia="ca-ES" w:bidi="ca-ES"/>
      </w:rPr>
    </w:lvl>
    <w:lvl w:ilvl="4" w:tentative="0">
      <w:start w:val="1"/>
      <w:numFmt w:val="decimal"/>
      <w:lvlText w:val="%1.%2.%3.%4.%5"/>
      <w:lvlJc w:val="left"/>
      <w:pPr>
        <w:ind w:left="358" w:hanging="1155"/>
        <w:jc w:val="left"/>
      </w:pPr>
      <w:rPr>
        <w:rFonts w:hint="default" w:ascii="黑体" w:hAnsi="黑体" w:eastAsia="黑体" w:cs="黑体"/>
        <w:spacing w:val="-3"/>
        <w:w w:val="100"/>
        <w:sz w:val="21"/>
        <w:szCs w:val="21"/>
        <w:lang w:val="ca-ES" w:eastAsia="ca-ES" w:bidi="ca-ES"/>
      </w:rPr>
    </w:lvl>
    <w:lvl w:ilvl="5" w:tentative="0">
      <w:start w:val="0"/>
      <w:numFmt w:val="bullet"/>
      <w:lvlText w:val="•"/>
      <w:lvlJc w:val="left"/>
      <w:pPr>
        <w:ind w:left="3821" w:hanging="1155"/>
      </w:pPr>
      <w:rPr>
        <w:rFonts w:hint="default"/>
        <w:lang w:val="ca-ES" w:eastAsia="ca-ES" w:bidi="ca-ES"/>
      </w:rPr>
    </w:lvl>
    <w:lvl w:ilvl="6" w:tentative="0">
      <w:start w:val="0"/>
      <w:numFmt w:val="bullet"/>
      <w:lvlText w:val="•"/>
      <w:lvlJc w:val="left"/>
      <w:pPr>
        <w:ind w:left="5082" w:hanging="1155"/>
      </w:pPr>
      <w:rPr>
        <w:rFonts w:hint="default"/>
        <w:lang w:val="ca-ES" w:eastAsia="ca-ES" w:bidi="ca-ES"/>
      </w:rPr>
    </w:lvl>
    <w:lvl w:ilvl="7" w:tentative="0">
      <w:start w:val="0"/>
      <w:numFmt w:val="bullet"/>
      <w:lvlText w:val="•"/>
      <w:lvlJc w:val="left"/>
      <w:pPr>
        <w:ind w:left="6343" w:hanging="1155"/>
      </w:pPr>
      <w:rPr>
        <w:rFonts w:hint="default"/>
        <w:lang w:val="ca-ES" w:eastAsia="ca-ES" w:bidi="ca-ES"/>
      </w:rPr>
    </w:lvl>
    <w:lvl w:ilvl="8" w:tentative="0">
      <w:start w:val="0"/>
      <w:numFmt w:val="bullet"/>
      <w:lvlText w:val="•"/>
      <w:lvlJc w:val="left"/>
      <w:pPr>
        <w:ind w:left="7604" w:hanging="1155"/>
      </w:pPr>
      <w:rPr>
        <w:rFonts w:hint="default"/>
        <w:lang w:val="ca-ES" w:eastAsia="ca-ES" w:bidi="ca-ES"/>
      </w:rPr>
    </w:lvl>
  </w:abstractNum>
  <w:abstractNum w:abstractNumId="3">
    <w:nsid w:val="0053208E"/>
    <w:multiLevelType w:val="multilevel"/>
    <w:tmpl w:val="0053208E"/>
    <w:lvl w:ilvl="0" w:tentative="0">
      <w:start w:val="1"/>
      <w:numFmt w:val="decimal"/>
      <w:lvlText w:val="%1"/>
      <w:lvlJc w:val="left"/>
      <w:pPr>
        <w:ind w:left="673" w:hanging="315"/>
        <w:jc w:val="left"/>
      </w:pPr>
      <w:rPr>
        <w:rFonts w:hint="default" w:ascii="黑体" w:hAnsi="黑体" w:eastAsia="黑体" w:cs="黑体"/>
        <w:w w:val="100"/>
        <w:sz w:val="21"/>
        <w:szCs w:val="21"/>
        <w:lang w:val="ca-ES" w:eastAsia="ca-ES" w:bidi="ca-ES"/>
      </w:rPr>
    </w:lvl>
    <w:lvl w:ilvl="1" w:tentative="0">
      <w:start w:val="1"/>
      <w:numFmt w:val="decimal"/>
      <w:lvlText w:val="%1.%2"/>
      <w:lvlJc w:val="left"/>
      <w:pPr>
        <w:ind w:left="676" w:hanging="318"/>
        <w:jc w:val="left"/>
      </w:pPr>
      <w:rPr>
        <w:rFonts w:hint="default" w:ascii="黑体" w:hAnsi="黑体" w:eastAsia="黑体" w:cs="黑体"/>
        <w:w w:val="100"/>
        <w:sz w:val="19"/>
        <w:szCs w:val="19"/>
        <w:lang w:val="ca-ES" w:eastAsia="ca-ES" w:bidi="ca-ES"/>
      </w:rPr>
    </w:lvl>
    <w:lvl w:ilvl="2" w:tentative="0">
      <w:start w:val="1"/>
      <w:numFmt w:val="decimal"/>
      <w:lvlText w:val="%1.%2.%3"/>
      <w:lvlJc w:val="left"/>
      <w:pPr>
        <w:ind w:left="1093" w:hanging="735"/>
        <w:jc w:val="left"/>
      </w:pPr>
      <w:rPr>
        <w:rFonts w:hint="default" w:ascii="黑体" w:hAnsi="黑体" w:eastAsia="黑体" w:cs="黑体"/>
        <w:w w:val="100"/>
        <w:sz w:val="21"/>
        <w:szCs w:val="21"/>
        <w:lang w:val="ca-ES" w:eastAsia="ca-ES" w:bidi="ca-ES"/>
      </w:rPr>
    </w:lvl>
    <w:lvl w:ilvl="3" w:tentative="0">
      <w:start w:val="1"/>
      <w:numFmt w:val="decimal"/>
      <w:lvlText w:val="%1.%2.%3.%4"/>
      <w:lvlJc w:val="left"/>
      <w:pPr>
        <w:ind w:left="358" w:hanging="946"/>
        <w:jc w:val="left"/>
      </w:pPr>
      <w:rPr>
        <w:rFonts w:hint="default" w:ascii="黑体" w:hAnsi="黑体" w:eastAsia="黑体" w:cs="黑体"/>
        <w:spacing w:val="-3"/>
        <w:w w:val="100"/>
        <w:sz w:val="21"/>
        <w:szCs w:val="21"/>
        <w:lang w:val="ca-ES" w:eastAsia="ca-ES" w:bidi="ca-ES"/>
      </w:rPr>
    </w:lvl>
    <w:lvl w:ilvl="4" w:tentative="0">
      <w:start w:val="1"/>
      <w:numFmt w:val="decimal"/>
      <w:lvlText w:val="%1.%2.%3.%4.%5"/>
      <w:lvlJc w:val="left"/>
      <w:pPr>
        <w:ind w:left="358" w:hanging="1155"/>
        <w:jc w:val="left"/>
      </w:pPr>
      <w:rPr>
        <w:rFonts w:hint="default" w:ascii="黑体" w:hAnsi="黑体" w:eastAsia="黑体" w:cs="黑体"/>
        <w:spacing w:val="-3"/>
        <w:w w:val="100"/>
        <w:sz w:val="21"/>
        <w:szCs w:val="21"/>
        <w:lang w:val="ca-ES" w:eastAsia="ca-ES" w:bidi="ca-ES"/>
      </w:rPr>
    </w:lvl>
    <w:lvl w:ilvl="5" w:tentative="0">
      <w:start w:val="0"/>
      <w:numFmt w:val="bullet"/>
      <w:lvlText w:val="•"/>
      <w:lvlJc w:val="left"/>
      <w:pPr>
        <w:ind w:left="2771" w:hanging="1155"/>
      </w:pPr>
      <w:rPr>
        <w:rFonts w:hint="default"/>
        <w:lang w:val="ca-ES" w:eastAsia="ca-ES" w:bidi="ca-ES"/>
      </w:rPr>
    </w:lvl>
    <w:lvl w:ilvl="6" w:tentative="0">
      <w:start w:val="0"/>
      <w:numFmt w:val="bullet"/>
      <w:lvlText w:val="•"/>
      <w:lvlJc w:val="left"/>
      <w:pPr>
        <w:ind w:left="4242" w:hanging="1155"/>
      </w:pPr>
      <w:rPr>
        <w:rFonts w:hint="default"/>
        <w:lang w:val="ca-ES" w:eastAsia="ca-ES" w:bidi="ca-ES"/>
      </w:rPr>
    </w:lvl>
    <w:lvl w:ilvl="7" w:tentative="0">
      <w:start w:val="0"/>
      <w:numFmt w:val="bullet"/>
      <w:lvlText w:val="•"/>
      <w:lvlJc w:val="left"/>
      <w:pPr>
        <w:ind w:left="5713" w:hanging="1155"/>
      </w:pPr>
      <w:rPr>
        <w:rFonts w:hint="default"/>
        <w:lang w:val="ca-ES" w:eastAsia="ca-ES" w:bidi="ca-ES"/>
      </w:rPr>
    </w:lvl>
    <w:lvl w:ilvl="8" w:tentative="0">
      <w:start w:val="0"/>
      <w:numFmt w:val="bullet"/>
      <w:lvlText w:val="•"/>
      <w:lvlJc w:val="left"/>
      <w:pPr>
        <w:ind w:left="7184" w:hanging="1155"/>
      </w:pPr>
      <w:rPr>
        <w:rFonts w:hint="default"/>
        <w:lang w:val="ca-ES" w:eastAsia="ca-ES" w:bidi="ca-ES"/>
      </w:rPr>
    </w:lvl>
  </w:abstractNum>
  <w:abstractNum w:abstractNumId="4">
    <w:nsid w:val="59ADCABA"/>
    <w:multiLevelType w:val="multilevel"/>
    <w:tmpl w:val="59ADCABA"/>
    <w:lvl w:ilvl="0" w:tentative="0">
      <w:start w:val="1"/>
      <w:numFmt w:val="lowerLetter"/>
      <w:lvlText w:val="%1)"/>
      <w:lvlJc w:val="left"/>
      <w:pPr>
        <w:ind w:left="1210" w:hanging="428"/>
        <w:jc w:val="left"/>
      </w:pPr>
      <w:rPr>
        <w:rFonts w:hint="default" w:ascii="宋体" w:hAnsi="宋体" w:eastAsia="宋体" w:cs="宋体"/>
        <w:w w:val="100"/>
        <w:sz w:val="21"/>
        <w:szCs w:val="21"/>
        <w:lang w:val="ca-ES" w:eastAsia="ca-ES" w:bidi="ca-ES"/>
      </w:rPr>
    </w:lvl>
    <w:lvl w:ilvl="1" w:tentative="0">
      <w:start w:val="0"/>
      <w:numFmt w:val="bullet"/>
      <w:lvlText w:val="•"/>
      <w:lvlJc w:val="left"/>
      <w:pPr>
        <w:ind w:left="2110" w:hanging="428"/>
      </w:pPr>
      <w:rPr>
        <w:rFonts w:hint="default"/>
        <w:lang w:val="ca-ES" w:eastAsia="ca-ES" w:bidi="ca-ES"/>
      </w:rPr>
    </w:lvl>
    <w:lvl w:ilvl="2" w:tentative="0">
      <w:start w:val="0"/>
      <w:numFmt w:val="bullet"/>
      <w:lvlText w:val="•"/>
      <w:lvlJc w:val="left"/>
      <w:pPr>
        <w:ind w:left="3001" w:hanging="428"/>
      </w:pPr>
      <w:rPr>
        <w:rFonts w:hint="default"/>
        <w:lang w:val="ca-ES" w:eastAsia="ca-ES" w:bidi="ca-ES"/>
      </w:rPr>
    </w:lvl>
    <w:lvl w:ilvl="3" w:tentative="0">
      <w:start w:val="0"/>
      <w:numFmt w:val="bullet"/>
      <w:lvlText w:val="•"/>
      <w:lvlJc w:val="left"/>
      <w:pPr>
        <w:ind w:left="3891" w:hanging="428"/>
      </w:pPr>
      <w:rPr>
        <w:rFonts w:hint="default"/>
        <w:lang w:val="ca-ES" w:eastAsia="ca-ES" w:bidi="ca-ES"/>
      </w:rPr>
    </w:lvl>
    <w:lvl w:ilvl="4" w:tentative="0">
      <w:start w:val="0"/>
      <w:numFmt w:val="bullet"/>
      <w:lvlText w:val="•"/>
      <w:lvlJc w:val="left"/>
      <w:pPr>
        <w:ind w:left="4782" w:hanging="428"/>
      </w:pPr>
      <w:rPr>
        <w:rFonts w:hint="default"/>
        <w:lang w:val="ca-ES" w:eastAsia="ca-ES" w:bidi="ca-ES"/>
      </w:rPr>
    </w:lvl>
    <w:lvl w:ilvl="5" w:tentative="0">
      <w:start w:val="0"/>
      <w:numFmt w:val="bullet"/>
      <w:lvlText w:val="•"/>
      <w:lvlJc w:val="left"/>
      <w:pPr>
        <w:ind w:left="5673" w:hanging="428"/>
      </w:pPr>
      <w:rPr>
        <w:rFonts w:hint="default"/>
        <w:lang w:val="ca-ES" w:eastAsia="ca-ES" w:bidi="ca-ES"/>
      </w:rPr>
    </w:lvl>
    <w:lvl w:ilvl="6" w:tentative="0">
      <w:start w:val="0"/>
      <w:numFmt w:val="bullet"/>
      <w:lvlText w:val="•"/>
      <w:lvlJc w:val="left"/>
      <w:pPr>
        <w:ind w:left="6563" w:hanging="428"/>
      </w:pPr>
      <w:rPr>
        <w:rFonts w:hint="default"/>
        <w:lang w:val="ca-ES" w:eastAsia="ca-ES" w:bidi="ca-ES"/>
      </w:rPr>
    </w:lvl>
    <w:lvl w:ilvl="7" w:tentative="0">
      <w:start w:val="0"/>
      <w:numFmt w:val="bullet"/>
      <w:lvlText w:val="•"/>
      <w:lvlJc w:val="left"/>
      <w:pPr>
        <w:ind w:left="7454" w:hanging="428"/>
      </w:pPr>
      <w:rPr>
        <w:rFonts w:hint="default"/>
        <w:lang w:val="ca-ES" w:eastAsia="ca-ES" w:bidi="ca-ES"/>
      </w:rPr>
    </w:lvl>
    <w:lvl w:ilvl="8" w:tentative="0">
      <w:start w:val="0"/>
      <w:numFmt w:val="bullet"/>
      <w:lvlText w:val="•"/>
      <w:lvlJc w:val="left"/>
      <w:pPr>
        <w:ind w:left="8345" w:hanging="428"/>
      </w:pPr>
      <w:rPr>
        <w:rFonts w:hint="default"/>
        <w:lang w:val="ca-ES" w:eastAsia="ca-ES" w:bidi="ca-ES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wZmNmY2QxNGIzY2I4MTE1MDAyZGMyY2UwNmNkMGIifQ=="/>
  </w:docVars>
  <w:rsids>
    <w:rsidRoot w:val="00000000"/>
    <w:rsid w:val="06293905"/>
    <w:rsid w:val="07E8734C"/>
    <w:rsid w:val="10F13271"/>
    <w:rsid w:val="141334FE"/>
    <w:rsid w:val="26044018"/>
    <w:rsid w:val="2C622E1D"/>
    <w:rsid w:val="3212694B"/>
    <w:rsid w:val="3C76412D"/>
    <w:rsid w:val="45E72A41"/>
    <w:rsid w:val="4D5C3245"/>
    <w:rsid w:val="51190931"/>
    <w:rsid w:val="533053AF"/>
    <w:rsid w:val="606545C3"/>
    <w:rsid w:val="6626043C"/>
    <w:rsid w:val="66F57A5F"/>
    <w:rsid w:val="6BFD39ED"/>
    <w:rsid w:val="7A4B0019"/>
    <w:rsid w:val="7E6D2CCC"/>
    <w:rsid w:val="7F9E29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ca-ES" w:eastAsia="ca-ES" w:bidi="ca-ES"/>
    </w:rPr>
  </w:style>
  <w:style w:type="paragraph" w:styleId="2">
    <w:name w:val="heading 1"/>
    <w:basedOn w:val="1"/>
    <w:next w:val="1"/>
    <w:qFormat/>
    <w:uiPriority w:val="1"/>
    <w:pPr>
      <w:spacing w:before="54"/>
      <w:jc w:val="center"/>
      <w:outlineLvl w:val="1"/>
    </w:pPr>
    <w:rPr>
      <w:rFonts w:ascii="黑体" w:hAnsi="黑体" w:eastAsia="黑体" w:cs="黑体"/>
      <w:sz w:val="32"/>
      <w:szCs w:val="32"/>
      <w:lang w:val="ca-ES" w:eastAsia="ca-ES" w:bidi="ca-ES"/>
    </w:rPr>
  </w:style>
  <w:style w:type="paragraph" w:styleId="3">
    <w:name w:val="heading 2"/>
    <w:basedOn w:val="1"/>
    <w:next w:val="1"/>
    <w:qFormat/>
    <w:uiPriority w:val="1"/>
    <w:pPr>
      <w:jc w:val="center"/>
      <w:outlineLvl w:val="2"/>
    </w:pPr>
    <w:rPr>
      <w:rFonts w:ascii="黑体" w:hAnsi="黑体" w:eastAsia="黑体" w:cs="黑体"/>
      <w:sz w:val="28"/>
      <w:szCs w:val="28"/>
      <w:lang w:val="ca-ES" w:eastAsia="ca-ES" w:bidi="ca-E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ca-ES" w:eastAsia="ca-ES" w:bidi="ca-ES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358"/>
    </w:pPr>
    <w:rPr>
      <w:rFonts w:ascii="宋体" w:hAnsi="宋体" w:eastAsia="宋体" w:cs="宋体"/>
      <w:lang w:val="ca-ES" w:eastAsia="ca-ES" w:bidi="ca-ES"/>
    </w:rPr>
  </w:style>
  <w:style w:type="paragraph" w:customStyle="1" w:styleId="9">
    <w:name w:val="Table Paragraph"/>
    <w:basedOn w:val="1"/>
    <w:qFormat/>
    <w:uiPriority w:val="1"/>
    <w:pPr>
      <w:spacing w:line="220" w:lineRule="exact"/>
      <w:ind w:left="55"/>
    </w:pPr>
    <w:rPr>
      <w:rFonts w:ascii="黑体" w:hAnsi="黑体" w:eastAsia="黑体" w:cs="黑体"/>
      <w:lang w:val="ca-ES" w:eastAsia="ca-ES" w:bidi="ca-E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5002</Words>
  <Characters>5201</Characters>
  <TotalTime>25</TotalTime>
  <ScaleCrop>false</ScaleCrop>
  <LinksUpToDate>false</LinksUpToDate>
  <CharactersWithSpaces>5370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2022-09-22T00:52:00Z</dcterms:created>
  <dc:creator>user</dc:creator>
  <cp:lastModifiedBy>淡然若水</cp:lastModifiedBy>
  <dcterms:modified xsi:type="dcterms:W3CDTF">2022-11-10T01:40:40Z</dcterms:modified>
  <dc:title>地方标准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2022-09-22T00:00:00Z</vt:filetime>
  </property>
  <property fmtid="{D5CDD505-2E9C-101B-9397-08002B2CF9AE}" pid="5" name="KSOProductBuildVer">
    <vt:lpwstr>2052-11.1.0.12763</vt:lpwstr>
  </property>
  <property fmtid="{D5CDD505-2E9C-101B-9397-08002B2CF9AE}" pid="6" name="ICV">
    <vt:lpwstr>56D4A8C34190480FA050D49415288091</vt:lpwstr>
  </property>
</Properties>
</file>