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</w:pPr>
      <w:bookmarkStart w:id="10" w:name="_GoBack"/>
      <w:bookmarkEnd w:id="10"/>
      <w:r>
        <w:rPr>
          <w:rFonts w:hint="eastAsia"/>
        </w:rPr>
        <w:t>0000000........00000</w:t>
      </w:r>
    </w:p>
    <w:tbl>
      <w:tblPr>
        <w:tblStyle w:val="2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5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5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pStyle w:val="4"/>
            </w:pPr>
            <w:r>
              <w:fldChar w:fldCharType="begin">
                <w:ffData>
                  <w:name w:val="BAH"/>
                  <w:enabled/>
                  <w:calcOnExit w:val="0"/>
                  <w:textInput/>
                </w:ffData>
              </w:fldChar>
            </w:r>
            <w:bookmarkStart w:id="0" w:name="BAH"/>
            <w:r>
              <w:instrText xml:space="preserve"> FORMTEXT </w:instrText>
            </w:r>
            <w:r>
              <w:fldChar w:fldCharType="separate"/>
            </w:r>
            <w:r>
              <w:t>     </w:t>
            </w:r>
            <w:r>
              <w:fldChar w:fldCharType="end"/>
            </w:r>
            <w:bookmarkEnd w:id="0"/>
          </w:p>
        </w:tc>
      </w:tr>
    </w:tbl>
    <w:p>
      <w:pPr>
        <w:pStyle w:val="5"/>
      </w:pPr>
      <w:r>
        <w:t>DB</w:t>
      </w:r>
      <w:bookmarkStart w:id="1" w:name="c3"/>
      <w:r>
        <w:fldChar w:fldCharType="begin">
          <w:ffData>
            <w:name w:val="c3"/>
            <w:enabled/>
            <w:calcOnExit w:val="0"/>
            <w:textInput>
              <w:maxLength w:val="2"/>
            </w:textInput>
          </w:ffData>
        </w:fldChar>
      </w:r>
      <w:r>
        <w:instrText xml:space="preserve"> FORMTEXT </w:instrText>
      </w:r>
      <w:r>
        <w:fldChar w:fldCharType="separate"/>
      </w:r>
      <w:r>
        <w:t>     </w:t>
      </w:r>
      <w:r>
        <w:fldChar w:fldCharType="end"/>
      </w:r>
      <w:bookmarkEnd w:id="1"/>
    </w:p>
    <w:p>
      <w:pPr>
        <w:pStyle w:val="7"/>
      </w:pPr>
      <w:bookmarkStart w:id="2" w:name="c4"/>
      <w:r>
        <w:fldChar w:fldCharType="begin">
          <w:ffData>
            <w:name w:val="c4"/>
            <w:enabled/>
            <w:calcOnExit w:val="0"/>
            <w:textInput>
              <w:default w:val="四川省（广元市）"/>
            </w:textInput>
          </w:ffData>
        </w:fldChar>
      </w:r>
      <w:r>
        <w:instrText xml:space="preserve"> FORMTEXT </w:instrText>
      </w:r>
      <w:r>
        <w:fldChar w:fldCharType="separate"/>
      </w:r>
      <w:r>
        <w:t>四川省（广元市）</w:t>
      </w:r>
      <w:r>
        <w:fldChar w:fldCharType="end"/>
      </w:r>
      <w:bookmarkEnd w:id="2"/>
      <w:r>
        <w:rPr>
          <w:rFonts w:hint="eastAsia"/>
        </w:rPr>
        <w:t>地方标准</w:t>
      </w:r>
    </w:p>
    <w:p>
      <w:pPr>
        <w:pStyle w:val="8"/>
        <w:rPr>
          <w:rFonts w:hAnsi="黑体"/>
        </w:rPr>
      </w:pPr>
    </w:p>
    <w:tbl>
      <w:tblPr>
        <w:tblStyle w:val="2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5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5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pStyle w:val="9"/>
            </w:pPr>
            <w:bookmarkStart w:id="3" w:name="DT"/>
            <w:r>
              <mc:AlternateContent>
                <mc:Choice Requires="wps">
                  <w:drawing>
                    <wp:anchor distT="0" distB="0" distL="114300" distR="114300" simplePos="0" relativeHeight="251658240" behindDoc="1" locked="0" layoutInCell="1" allowOverlap="1">
                      <wp:simplePos x="0" y="0"/>
                      <wp:positionH relativeFrom="column">
                        <wp:posOffset>4734560</wp:posOffset>
                      </wp:positionH>
                      <wp:positionV relativeFrom="paragraph">
                        <wp:posOffset>34290</wp:posOffset>
                      </wp:positionV>
                      <wp:extent cx="1143000" cy="228600"/>
                      <wp:effectExtent l="0" t="0" r="0" b="0"/>
                      <wp:wrapNone/>
                      <wp:docPr id="1" name="矩形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43000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/>
                              </w:txbxContent>
                            </wps:txbx>
                            <wps:bodyPr wrap="square" upright="true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372.8pt;margin-top:2.7pt;height:18pt;width:90pt;z-index:-251658240;mso-width-relative:page;mso-height-relative:page;" fillcolor="#FFFFFF" filled="t" stroked="f" coordsize="21600,21600" o:gfxdata="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">
                      <v:fill on="t" focussize="0,0"/>
                      <v:stroke on="f"/>
                      <v:imagedata o:title=""/>
                      <o:lock v:ext="edit" aspectratio="f"/>
                      <v:textbox>
                        <w:txbxContent>
                          <w:p/>
                        </w:txbxContent>
                      </v:textbox>
                    </v:rect>
                  </w:pict>
                </mc:Fallback>
              </mc:AlternateContent>
            </w:r>
            <w:r>
              <w:fldChar w:fldCharType="begin">
                <w:ffData>
                  <w:name w:val="DT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t>     </w:t>
            </w:r>
            <w:r>
              <w:fldChar w:fldCharType="end"/>
            </w:r>
            <w:bookmarkEnd w:id="3"/>
          </w:p>
        </w:tc>
      </w:tr>
    </w:tbl>
    <w:p>
      <w:pPr>
        <w:pStyle w:val="8"/>
        <w:rPr>
          <w:rFonts w:hAnsi="黑体"/>
        </w:rPr>
      </w:pPr>
    </w:p>
    <w:p>
      <w:pPr>
        <w:pStyle w:val="8"/>
        <w:rPr>
          <w:rFonts w:hAnsi="黑体"/>
        </w:rPr>
      </w:pPr>
    </w:p>
    <w:p>
      <w:pPr>
        <w:pStyle w:val="10"/>
      </w:pPr>
      <w:r>
        <w:rPr>
          <w:rFonts w:hint="eastAsia"/>
        </w:rPr>
        <w:t>茯苓林下种植技术规程</w:t>
      </w:r>
    </w:p>
    <w:p>
      <w:pPr>
        <w:framePr w:w="9639" w:h="6917" w:hRule="exact" w:wrap="around" w:vAnchor="page" w:hAnchor="page" w:xAlign="center" w:y="6408" w:anchorLock="1"/>
        <w:widowControl/>
        <w:shd w:val="clear" w:color="auto" w:fill="FFFFFF"/>
        <w:jc w:val="left"/>
        <w:rPr>
          <w:rFonts w:hint="eastAsia" w:ascii="Arial" w:hAnsi="Arial" w:cs="Arial"/>
          <w:color w:val="333333"/>
          <w:sz w:val="24"/>
        </w:rPr>
      </w:pPr>
      <w:r>
        <w:rPr>
          <w:rFonts w:ascii="Arial" w:hAnsi="Arial" w:cs="Arial"/>
          <w:color w:val="000000"/>
          <w:kern w:val="0"/>
          <w:sz w:val="12"/>
          <w:szCs w:val="12"/>
        </w:rPr>
        <w:fldChar w:fldCharType="begin"/>
      </w:r>
      <w:r>
        <w:rPr>
          <w:rFonts w:ascii="Arial" w:hAnsi="Arial" w:cs="Arial"/>
          <w:color w:val="000000"/>
          <w:kern w:val="0"/>
          <w:sz w:val="12"/>
          <w:szCs w:val="12"/>
        </w:rPr>
        <w:instrText xml:space="preserve"> HYPERLINK "https://fanyi.baidu.com/translate?aldtype=16047&amp;query=%E5%B9%BF%E5%85%83%E5%A4%A9%E9%BA%BB%E8%AE%BE%E6%96%BD%E5%8C%96%E6%A0%BD%E5%9F%B9%E6%8A%80%E6%9C%AF%E8%A7%84%E7%A8%8B&amp;keyfrom=baidu&amp;smartresult=dict&amp;lang=auto2en" \l "##" </w:instrText>
      </w:r>
      <w:r>
        <w:rPr>
          <w:rFonts w:ascii="Arial" w:hAnsi="Arial" w:cs="Arial"/>
          <w:color w:val="000000"/>
          <w:kern w:val="0"/>
          <w:sz w:val="12"/>
          <w:szCs w:val="12"/>
        </w:rPr>
        <w:fldChar w:fldCharType="separate"/>
      </w:r>
      <w:r>
        <w:rPr>
          <w:rFonts w:ascii="Arial" w:hAnsi="Arial" w:cs="Arial"/>
          <w:color w:val="666666"/>
          <w:kern w:val="0"/>
          <w:sz w:val="12"/>
          <w:szCs w:val="12"/>
        </w:rPr>
        <w:br w:type="textWrapping"/>
      </w:r>
      <w:r>
        <w:rPr>
          <w:rFonts w:ascii="Arial" w:hAnsi="Arial" w:cs="Arial"/>
          <w:color w:val="000000"/>
          <w:kern w:val="0"/>
          <w:sz w:val="12"/>
          <w:szCs w:val="12"/>
        </w:rPr>
        <w:fldChar w:fldCharType="end"/>
      </w:r>
      <w:bookmarkStart w:id="4" w:name="YZBS"/>
      <w:r>
        <w:rPr>
          <w:rFonts w:ascii="Arial" w:hAnsi="Arial" w:cs="Arial"/>
          <w:color w:val="333333"/>
          <w:sz w:val="24"/>
        </w:rPr>
        <w:t xml:space="preserve"> </w:t>
      </w:r>
    </w:p>
    <w:p>
      <w:pPr>
        <w:pStyle w:val="11"/>
      </w:pPr>
      <w:r>
        <w:fldChar w:fldCharType="begin">
          <w:ffData>
            <w:name w:val="YZBS"/>
            <w:enabled/>
            <w:calcOnExit w:val="0"/>
            <w:textInput>
              <w:default w:val="点击此处添加与国际标准一致性程度的标识"/>
            </w:textInput>
          </w:ffData>
        </w:fldChar>
      </w:r>
      <w:r>
        <w:instrText xml:space="preserve"> FORMTEXT </w:instrText>
      </w:r>
      <w:r>
        <w:fldChar w:fldCharType="separate"/>
      </w:r>
      <w:r>
        <w:rPr>
          <w:rFonts w:hint="eastAsia"/>
        </w:rPr>
        <w:t>点击此处添加与国际标准一致性程度的标识</w:t>
      </w:r>
      <w:r>
        <w:fldChar w:fldCharType="end"/>
      </w:r>
      <w:bookmarkEnd w:id="4"/>
    </w:p>
    <w:tbl>
      <w:tblPr>
        <w:tblStyle w:val="2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5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5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pStyle w:val="13"/>
            </w:pPr>
            <w:r>
              <mc:AlternateContent>
                <mc:Choice Requires="wps">
                  <w:drawing>
                    <wp:anchor distT="0" distB="0" distL="114300" distR="114300" simplePos="0" relativeHeight="251660288" behindDoc="1" locked="1" layoutInCell="1" allowOverlap="1">
                      <wp:simplePos x="0" y="0"/>
                      <wp:positionH relativeFrom="column">
                        <wp:posOffset>2200910</wp:posOffset>
                      </wp:positionH>
                      <wp:positionV relativeFrom="paragraph">
                        <wp:posOffset>573405</wp:posOffset>
                      </wp:positionV>
                      <wp:extent cx="1905000" cy="254000"/>
                      <wp:effectExtent l="0" t="0" r="0" b="12700"/>
                      <wp:wrapNone/>
                      <wp:docPr id="6" name="矩形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05000" cy="2540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/>
                              </w:txbxContent>
                            </wps:txbx>
                            <wps:bodyPr wrap="square" upright="true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173.3pt;margin-top:45.15pt;height:20pt;width:150pt;z-index:-251656192;mso-width-relative:page;mso-height-relative:page;" fillcolor="#FFFFFF" filled="t" stroked="f" coordsize="21600,21600" o:gfxdata="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WAAAAZHJzL1BLAQIUABQA&#10;AAAIAIdO4kAFia6S1QAAAAoBAAAPAAAAAAAAAAEAIAAAADgAAABkcnMvZG93bnJldi54bWxQSwEC&#10;FAAUAAAACACHTuJAI+dzz6gBAAA7AwAADgAAAAAAAAABACAAAAA6AQAAZHJzL2Uyb0RvYy54bWxQ&#10;SwUGAAAAAAYABgBZAQAAVAUAAAAA&#10;">
                      <v:fill on="t" focussize="0,0"/>
                      <v:stroke on="f"/>
                      <v:imagedata o:title=""/>
                      <o:lock v:ext="edit" aspectratio="f"/>
                      <v:textbox>
                        <w:txbxContent>
                          <w:p/>
                        </w:txbxContent>
                      </v:textbox>
                      <w10:anchorlock/>
                    </v:rect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114300" distR="114300" simplePos="0" relativeHeight="251659264" behindDoc="1" locked="0" layoutInCell="1" allowOverlap="1">
                      <wp:simplePos x="0" y="0"/>
                      <wp:positionH relativeFrom="column">
                        <wp:posOffset>2454910</wp:posOffset>
                      </wp:positionH>
                      <wp:positionV relativeFrom="paragraph">
                        <wp:posOffset>255905</wp:posOffset>
                      </wp:positionV>
                      <wp:extent cx="1270000" cy="304800"/>
                      <wp:effectExtent l="0" t="0" r="6350" b="0"/>
                      <wp:wrapNone/>
                      <wp:docPr id="5" name="矩形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70000" cy="3048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/>
                              </w:txbxContent>
                            </wps:txbx>
                            <wps:bodyPr wrap="square" upright="true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193.3pt;margin-top:20.15pt;height:24pt;width:100pt;z-index:-251657216;mso-width-relative:page;mso-height-relative:page;" fillcolor="#FFFFFF" filled="t" stroked="f" coordsize="21600,21600" o:gfxdata="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FgAAAGRycy9QSwECFAAU&#10;AAAACACHTuJAA+GL5dYAAAAJAQAADwAAAAAAAAABACAAAAA4AAAAZHJzL2Rvd25yZXYueG1sUEsB&#10;AhQAFAAAAAgAh07iQKX3IsaoAQAAOwMAAA4AAAAAAAAAAQAgAAAAOwEAAGRycy9lMm9Eb2MueG1s&#10;UEsFBgAAAAAGAAYAWQEAAFUFAAAAAA==&#10;">
                      <v:fill on="t" focussize="0,0"/>
                      <v:stroke on="f"/>
                      <v:imagedata o:title=""/>
                      <o:lock v:ext="edit" aspectratio="f"/>
                      <v:textbox>
                        <w:txbxContent>
                          <w:p/>
                        </w:txbxContent>
                      </v:textbox>
                    </v:rect>
                  </w:pict>
                </mc:Fallback>
              </mc:AlternateContent>
            </w:r>
            <w:r>
              <w:fldChar w:fldCharType="begin"/>
            </w:r>
            <w:bookmarkStart w:id="5" w:name="LB"/>
            <w:r>
              <w:instrText xml:space="preserve"> FORMDROPDOWN </w:instrText>
            </w:r>
            <w:r>
              <w:fldChar w:fldCharType="separate"/>
            </w:r>
            <w:r>
              <w:fldChar w:fldCharType="end"/>
            </w:r>
            <w:bookmarkEnd w:id="5"/>
            <w:r>
              <w:rPr>
                <w:rFonts w:hint="eastAsia"/>
              </w:rPr>
              <w:t>（草案）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5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pStyle w:val="14"/>
            </w:pPr>
            <w:bookmarkStart w:id="6" w:name="WCRQ"/>
            <w:r>
              <w:fldChar w:fldCharType="begin">
                <w:ffData>
                  <w:name w:val="WCRQ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t>     </w:t>
            </w:r>
            <w:r>
              <w:fldChar w:fldCharType="end"/>
            </w:r>
            <w:bookmarkEnd w:id="6"/>
          </w:p>
        </w:tc>
      </w:tr>
    </w:tbl>
    <w:p>
      <w:pPr>
        <w:pStyle w:val="15"/>
      </w:pPr>
      <w:r>
        <w:rPr>
          <w:rFonts w:hint="eastAsia" w:ascii="黑体"/>
        </w:rPr>
        <w:t>2022</w:t>
      </w:r>
      <w:r>
        <w:t xml:space="preserve"> </w:t>
      </w:r>
      <w:r>
        <w:rPr>
          <w:rFonts w:ascii="黑体"/>
        </w:rPr>
        <w:t>-</w:t>
      </w:r>
      <w:r>
        <w:t xml:space="preserve"> </w:t>
      </w:r>
      <w:r>
        <w:rPr>
          <w:rFonts w:hint="eastAsia" w:ascii="黑体"/>
        </w:rPr>
        <w:t>XX</w:t>
      </w:r>
      <w:r>
        <w:t xml:space="preserve"> </w:t>
      </w:r>
      <w:r>
        <w:rPr>
          <w:rFonts w:ascii="黑体"/>
        </w:rPr>
        <w:t>-</w:t>
      </w:r>
      <w:r>
        <w:t xml:space="preserve"> </w:t>
      </w:r>
      <w:r>
        <w:rPr>
          <w:rFonts w:hint="eastAsia" w:ascii="黑体"/>
        </w:rPr>
        <w:t>XX</w:t>
      </w:r>
      <w:r>
        <w:rPr>
          <w:rFonts w:hint="eastAsia"/>
        </w:rPr>
        <w:t>发布</w:t>
      </w:r>
      <w:r>
        <mc:AlternateContent>
          <mc:Choice Requires="wps">
            <w:drawing>
              <wp:anchor distT="0" distB="0" distL="114300" distR="114300" simplePos="0" relativeHeight="251662336" behindDoc="0" locked="1" layoutInCell="1" allowOverlap="1">
                <wp:simplePos x="0" y="0"/>
                <wp:positionH relativeFrom="column">
                  <wp:posOffset>-635</wp:posOffset>
                </wp:positionH>
                <wp:positionV relativeFrom="page">
                  <wp:posOffset>9251950</wp:posOffset>
                </wp:positionV>
                <wp:extent cx="6120130" cy="0"/>
                <wp:effectExtent l="0" t="0" r="0" b="0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12013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true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0.05pt;margin-top:728.5pt;height:0pt;width:481.9pt;mso-position-vertical-relative:page;z-index:251662336;mso-width-relative:page;mso-height-relative:page;" filled="f" stroked="t" coordsize="21600,21600" o:gfxdata="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FgAAAGRycy9QSwECFAAU&#10;AAAACACHTuJAJYdrPNYAAAALAQAADwAAAAAAAAABACAAAAA4AAAAZHJzL2Rvd25yZXYueG1sUEsB&#10;AhQAFAAAAAgAh07iQADH2W7hAQAApwMAAA4AAAAAAAAAAQAgAAAAOwEAAGRycy9lMm9Eb2MueG1s&#10;UEsFBgAAAAAGAAYAWQEAAI4FAAAAAA==&#10;">
                <v:fill on="f" focussize="0,0"/>
                <v:stroke color="#000000" joinstyle="round"/>
                <v:imagedata o:title=""/>
                <o:lock v:ext="edit" aspectratio="f"/>
                <w10:anchorlock/>
              </v:line>
            </w:pict>
          </mc:Fallback>
        </mc:AlternateContent>
      </w:r>
    </w:p>
    <w:p>
      <w:pPr>
        <w:pStyle w:val="17"/>
      </w:pPr>
      <w:r>
        <w:rPr>
          <w:rFonts w:hint="eastAsia" w:ascii="黑体"/>
        </w:rPr>
        <w:t>2022</w:t>
      </w:r>
      <w:r>
        <w:t xml:space="preserve"> </w:t>
      </w:r>
      <w:r>
        <w:rPr>
          <w:rFonts w:ascii="黑体"/>
        </w:rPr>
        <w:t>-</w:t>
      </w:r>
      <w:r>
        <w:rPr>
          <w:rFonts w:hint="eastAsia" w:ascii="黑体"/>
        </w:rPr>
        <w:t>XX</w:t>
      </w:r>
      <w:r>
        <w:t xml:space="preserve"> </w:t>
      </w:r>
      <w:r>
        <w:rPr>
          <w:rFonts w:ascii="黑体"/>
        </w:rPr>
        <w:t>-</w:t>
      </w:r>
      <w:r>
        <w:t xml:space="preserve"> </w:t>
      </w:r>
      <w:r>
        <w:rPr>
          <w:rFonts w:hint="eastAsia" w:ascii="黑体"/>
        </w:rPr>
        <w:t>XX</w:t>
      </w:r>
      <w:r>
        <w:rPr>
          <w:rFonts w:hint="eastAsia"/>
        </w:rPr>
        <w:t>实施</w:t>
      </w:r>
    </w:p>
    <w:p>
      <w:pPr>
        <w:pStyle w:val="19"/>
      </w:pPr>
      <w:bookmarkStart w:id="7" w:name="fm"/>
      <w:r>
        <w:fldChar w:fldCharType="begin">
          <w:ffData>
            <w:name w:val="fm"/>
            <w:enabled/>
            <w:calcOnExit w:val="0"/>
            <w:textInput/>
          </w:ffData>
        </w:fldChar>
      </w:r>
      <w:r>
        <w:instrText xml:space="preserve"> FORMTEXT </w:instrText>
      </w:r>
      <w:r>
        <w:fldChar w:fldCharType="separate"/>
      </w:r>
      <w:r>
        <w:t>     </w:t>
      </w:r>
      <w:r>
        <w:fldChar w:fldCharType="end"/>
      </w:r>
      <w:bookmarkEnd w:id="7"/>
      <w:r>
        <w:rPr>
          <w:rFonts w:hAnsi="黑体"/>
        </w:rPr>
        <w:t>   </w:t>
      </w:r>
      <w:r>
        <w:rPr>
          <w:rStyle w:val="22"/>
          <w:rFonts w:hint="eastAsia"/>
        </w:rPr>
        <w:t>发布</w:t>
      </w:r>
    </w:p>
    <w:p>
      <w:pPr>
        <w:pStyle w:val="21"/>
        <w:ind w:firstLine="0" w:firstLineChars="0"/>
        <w:sectPr>
          <w:pgSz w:w="11906" w:h="16838"/>
          <w:pgMar w:top="567" w:right="850" w:bottom="1134" w:left="1418" w:header="0" w:footer="0" w:gutter="0"/>
          <w:pgNumType w:start="1"/>
          <w:cols w:space="720" w:num="1"/>
          <w:formProt w:val="0"/>
          <w:docGrid w:type="lines" w:linePitch="312" w:charSpace="0"/>
        </w:sectPr>
      </w:pPr>
      <w:r>
        <mc:AlternateContent>
          <mc:Choice Requires="wps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column">
                  <wp:posOffset>-66675</wp:posOffset>
                </wp:positionH>
                <wp:positionV relativeFrom="paragraph">
                  <wp:posOffset>396240</wp:posOffset>
                </wp:positionV>
                <wp:extent cx="866775" cy="198120"/>
                <wp:effectExtent l="0" t="0" r="9525" b="11430"/>
                <wp:wrapNone/>
                <wp:docPr id="4" name="矩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66775" cy="198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 wrap="square" upright="true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5.25pt;margin-top:31.2pt;height:15.6pt;width:68.25pt;z-index:-251655168;mso-width-relative:page;mso-height-relative:page;" fillcolor="#FFFFFF" filled="t" stroked="f" coordsize="21600,21600" o:gfxdata="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BYAAABkcnMvUEsB&#10;AhQAFAAAAAgAh07iQGQZAFPXAAAACQEAAA8AAAAAAAAAAQAgAAAAOAAAAGRycy9kb3ducmV2Lnht&#10;bFBLAQIUABQAAAAIAIdO4kA/eMGqqwEAADoDAAAOAAAAAAAAAAEAIAAAADwBAABkcnMvZTJvRG9j&#10;LnhtbFBLBQYAAAAABgAGAFkBAABZBQAAAAA=&#10;">
                <v:fill on="t" focussize="0,0"/>
                <v:stroke on="f"/>
                <v:imagedata o:title=""/>
                <o:lock v:ext="edit" aspectratio="f"/>
                <v:textbox>
                  <w:txbxContent>
                    <w:p/>
                  </w:txbxContent>
                </v:textbox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-635</wp:posOffset>
                </wp:positionH>
                <wp:positionV relativeFrom="paragraph">
                  <wp:posOffset>2339975</wp:posOffset>
                </wp:positionV>
                <wp:extent cx="6120130" cy="0"/>
                <wp:effectExtent l="0" t="0" r="0" b="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12013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true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0.05pt;margin-top:184.25pt;height:0pt;width:481.9pt;z-index:251663360;mso-width-relative:page;mso-height-relative:page;" filled="f" stroked="t" coordsize="21600,21600" o:gfxdata="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pStyle w:val="21"/>
        <w:rPr>
          <w:rFonts w:hint="eastAsia"/>
        </w:rPr>
      </w:pPr>
      <w:bookmarkStart w:id="8" w:name="_Toc437934473"/>
    </w:p>
    <w:p>
      <w:pPr>
        <w:pStyle w:val="23"/>
        <w:rPr>
          <w:rFonts w:hint="eastAsia"/>
        </w:rPr>
      </w:pPr>
      <w:r>
        <w:rPr>
          <w:rFonts w:hint="eastAsia"/>
        </w:rPr>
        <w:t>前</w:t>
      </w:r>
      <w:bookmarkStart w:id="9" w:name="BKQY"/>
      <w:r>
        <w:t>  </w:t>
      </w:r>
      <w:r>
        <w:rPr>
          <w:rFonts w:hint="eastAsia"/>
        </w:rPr>
        <w:t>言</w:t>
      </w:r>
      <w:bookmarkEnd w:id="8"/>
      <w:bookmarkEnd w:id="9"/>
    </w:p>
    <w:p>
      <w:pPr>
        <w:spacing w:line="340" w:lineRule="exact"/>
        <w:ind w:firstLine="420" w:firstLineChars="200"/>
        <w:rPr>
          <w:szCs w:val="21"/>
        </w:rPr>
      </w:pPr>
      <w:r>
        <w:rPr>
          <w:rFonts w:hAnsi="宋体"/>
          <w:szCs w:val="21"/>
        </w:rPr>
        <w:t>本标准按照</w:t>
      </w:r>
      <w:r>
        <w:rPr>
          <w:rFonts w:ascii="宋体" w:hAnsi="宋体"/>
          <w:szCs w:val="21"/>
        </w:rPr>
        <w:t>GB/T</w:t>
      </w:r>
      <w:r>
        <w:rPr>
          <w:rFonts w:hint="eastAsia" w:ascii="宋体" w:hAnsi="宋体"/>
          <w:szCs w:val="21"/>
        </w:rPr>
        <w:t xml:space="preserve"> </w:t>
      </w:r>
      <w:r>
        <w:rPr>
          <w:rFonts w:ascii="宋体" w:hAnsi="宋体"/>
          <w:szCs w:val="21"/>
        </w:rPr>
        <w:t>1.1</w:t>
      </w:r>
      <w:r>
        <w:rPr>
          <w:rFonts w:hint="eastAsia" w:ascii="宋体" w:hAnsi="宋体"/>
          <w:szCs w:val="21"/>
        </w:rPr>
        <w:t>-</w:t>
      </w:r>
      <w:r>
        <w:rPr>
          <w:rFonts w:ascii="宋体" w:hAnsi="宋体"/>
          <w:szCs w:val="21"/>
        </w:rPr>
        <w:t>20</w:t>
      </w:r>
      <w:r>
        <w:rPr>
          <w:rFonts w:hint="eastAsia" w:ascii="宋体" w:hAnsi="宋体"/>
          <w:szCs w:val="21"/>
        </w:rPr>
        <w:t>20</w:t>
      </w:r>
      <w:r>
        <w:rPr>
          <w:rFonts w:hint="eastAsia" w:hAnsi="宋体"/>
          <w:szCs w:val="21"/>
        </w:rPr>
        <w:t>给出的规则起草</w:t>
      </w:r>
      <w:r>
        <w:rPr>
          <w:rFonts w:hAnsi="宋体"/>
          <w:szCs w:val="21"/>
        </w:rPr>
        <w:t>。</w:t>
      </w:r>
    </w:p>
    <w:p>
      <w:pPr>
        <w:spacing w:line="340" w:lineRule="exact"/>
        <w:ind w:firstLine="420" w:firstLineChars="200"/>
        <w:rPr>
          <w:szCs w:val="21"/>
        </w:rPr>
      </w:pPr>
      <w:r>
        <w:rPr>
          <w:rFonts w:hAnsi="宋体"/>
          <w:szCs w:val="21"/>
        </w:rPr>
        <w:t>本标准由广元市林业局</w:t>
      </w:r>
      <w:r>
        <w:rPr>
          <w:rFonts w:hint="eastAsia" w:hAnsi="宋体"/>
          <w:szCs w:val="21"/>
        </w:rPr>
        <w:t>提出并归口。</w:t>
      </w:r>
    </w:p>
    <w:p>
      <w:pPr>
        <w:spacing w:line="340" w:lineRule="exact"/>
        <w:ind w:firstLine="420" w:firstLineChars="200"/>
        <w:rPr>
          <w:szCs w:val="21"/>
        </w:rPr>
      </w:pPr>
      <w:r>
        <w:rPr>
          <w:rFonts w:hAnsi="宋体"/>
          <w:szCs w:val="21"/>
        </w:rPr>
        <w:t>本标准主要起草单位：</w:t>
      </w:r>
      <w:r>
        <w:rPr>
          <w:rFonts w:hint="eastAsia" w:hAnsi="宋体"/>
          <w:szCs w:val="21"/>
        </w:rPr>
        <w:t>广元市林木种苗管理站</w:t>
      </w:r>
      <w:r>
        <w:rPr>
          <w:rFonts w:hAnsi="宋体"/>
          <w:szCs w:val="21"/>
        </w:rPr>
        <w:t>、</w:t>
      </w:r>
      <w:r>
        <w:rPr>
          <w:rFonts w:hint="eastAsia" w:hAnsi="宋体"/>
          <w:szCs w:val="21"/>
        </w:rPr>
        <w:t>广元市佳华中药材种植有限公司。</w:t>
      </w:r>
    </w:p>
    <w:p>
      <w:pPr>
        <w:adjustRightInd w:val="0"/>
        <w:snapToGrid w:val="0"/>
        <w:ind w:firstLine="420" w:firstLineChars="200"/>
        <w:rPr>
          <w:rFonts w:hAnsi="宋体"/>
          <w:szCs w:val="21"/>
        </w:rPr>
        <w:sectPr>
          <w:headerReference r:id="rId3" w:type="default"/>
          <w:type w:val="continuous"/>
          <w:pgSz w:w="11906" w:h="16838"/>
          <w:pgMar w:top="567" w:right="1134" w:bottom="1134" w:left="1418" w:header="1418" w:footer="1134" w:gutter="0"/>
          <w:pgNumType w:start="1"/>
          <w:cols w:space="720" w:num="1"/>
          <w:formProt w:val="0"/>
          <w:docGrid w:type="lines" w:linePitch="312" w:charSpace="0"/>
        </w:sectPr>
      </w:pPr>
      <w:r>
        <w:rPr>
          <w:rFonts w:hAnsi="宋体"/>
          <w:szCs w:val="21"/>
        </w:rPr>
        <w:t>本标准主要起草人：</w:t>
      </w:r>
    </w:p>
    <w:p>
      <w:pPr>
        <w:adjustRightInd w:val="0"/>
        <w:snapToGrid w:val="0"/>
        <w:ind w:firstLine="420" w:firstLineChars="200"/>
        <w:rPr>
          <w:rFonts w:hint="eastAsia" w:hAnsi="宋体"/>
          <w:szCs w:val="21"/>
        </w:rPr>
      </w:pPr>
    </w:p>
    <w:p>
      <w:pPr>
        <w:pStyle w:val="24"/>
        <w:rPr>
          <w:rFonts w:hint="eastAsia"/>
        </w:rPr>
      </w:pPr>
      <w:r>
        <w:rPr>
          <w:rFonts w:hint="eastAsia"/>
        </w:rPr>
        <w:t>林下茯苓种植技术规程</w:t>
      </w:r>
    </w:p>
    <w:p>
      <w:pPr>
        <w:pStyle w:val="25"/>
        <w:spacing w:before="0" w:beforeLines="0" w:after="0" w:afterLines="0"/>
        <w:rPr>
          <w:rFonts w:hint="eastAsia"/>
        </w:rPr>
      </w:pPr>
      <w:r>
        <w:rPr>
          <w:rFonts w:hint="eastAsia"/>
        </w:rPr>
        <w:t>范围</w:t>
      </w:r>
    </w:p>
    <w:p>
      <w:pPr>
        <w:widowControl/>
        <w:spacing w:line="460" w:lineRule="exact"/>
        <w:ind w:firstLine="420" w:firstLineChars="200"/>
        <w:jc w:val="left"/>
        <w:rPr>
          <w:rFonts w:hint="eastAsia"/>
        </w:rPr>
      </w:pPr>
      <w:r>
        <w:rPr>
          <w:rFonts w:hint="eastAsia"/>
        </w:rPr>
        <w:t>本标准规定了茯苓（</w:t>
      </w:r>
      <w:r>
        <w:rPr>
          <w:rFonts w:hint="eastAsia"/>
          <w:i/>
          <w:iCs/>
          <w:lang w:val="en-US" w:eastAsia="zh-CN"/>
        </w:rPr>
        <w:t>P</w:t>
      </w:r>
      <w:r>
        <w:rPr>
          <w:rFonts w:hint="eastAsia"/>
          <w:i/>
          <w:iCs/>
        </w:rPr>
        <w:t xml:space="preserve">oria cocos </w:t>
      </w:r>
      <w:r>
        <w:rPr>
          <w:rFonts w:hint="eastAsia"/>
        </w:rPr>
        <w:t>(Schw.) Wolf.）林下种植的场地选择、备料、接种下窖、种植管理、病虫害</w:t>
      </w:r>
      <w:r>
        <w:rPr>
          <w:rFonts w:hint="eastAsia"/>
          <w:lang w:eastAsia="zh-CN"/>
        </w:rPr>
        <w:t>防治、</w:t>
      </w:r>
      <w:r>
        <w:rPr>
          <w:rFonts w:hint="eastAsia"/>
        </w:rPr>
        <w:t>采收</w:t>
      </w:r>
      <w:r>
        <w:rPr>
          <w:rFonts w:hint="eastAsia"/>
          <w:lang w:eastAsia="zh-CN"/>
        </w:rPr>
        <w:t>和</w:t>
      </w:r>
      <w:r>
        <w:rPr>
          <w:rFonts w:hint="eastAsia"/>
        </w:rPr>
        <w:t>苓场清理等要求。</w:t>
      </w:r>
    </w:p>
    <w:p>
      <w:pPr>
        <w:pStyle w:val="21"/>
        <w:spacing w:line="460" w:lineRule="exact"/>
        <w:rPr>
          <w:rFonts w:hint="eastAsia"/>
        </w:rPr>
      </w:pPr>
      <w:r>
        <w:rPr>
          <w:rFonts w:hint="eastAsia"/>
        </w:rPr>
        <w:t>本标准适用于广元市茯苓林下种植。</w:t>
      </w:r>
    </w:p>
    <w:p>
      <w:pPr>
        <w:pStyle w:val="25"/>
        <w:spacing w:before="0" w:beforeLines="0" w:after="0" w:afterLines="0" w:line="460" w:lineRule="exact"/>
        <w:rPr>
          <w:rFonts w:hint="eastAsia"/>
        </w:rPr>
      </w:pPr>
      <w:r>
        <w:rPr>
          <w:rFonts w:hint="eastAsia"/>
        </w:rPr>
        <w:t>规范性引用文件</w:t>
      </w:r>
    </w:p>
    <w:p>
      <w:pPr>
        <w:pStyle w:val="21"/>
        <w:spacing w:line="460" w:lineRule="exact"/>
        <w:rPr>
          <w:rFonts w:hint="eastAsia"/>
        </w:rPr>
      </w:pPr>
      <w:r>
        <w:rPr>
          <w:rFonts w:hint="eastAsia"/>
        </w:rPr>
        <w:t>下列文件对于本文件的应用是必不可少的。凡是注日期的引用文件，仅所注日期的版本适用于本文件。凡是不注日期的引用文件，其最新版本（包括所有的修改单）适用于本文件。</w:t>
      </w:r>
    </w:p>
    <w:p>
      <w:pPr>
        <w:spacing w:line="460" w:lineRule="exact"/>
        <w:ind w:firstLine="420"/>
        <w:rPr>
          <w:rFonts w:hint="eastAsia" w:ascii="宋体" w:eastAsia="宋体"/>
          <w:color w:val="000000"/>
          <w:kern w:val="0"/>
          <w:szCs w:val="20"/>
          <w:lang w:eastAsia="zh-CN"/>
        </w:rPr>
      </w:pPr>
      <w:r>
        <w:rPr>
          <w:rFonts w:ascii="宋体"/>
          <w:color w:val="000000"/>
          <w:kern w:val="0"/>
          <w:szCs w:val="20"/>
        </w:rPr>
        <w:t>GB 15618 土壤环境质量</w:t>
      </w:r>
      <w:r>
        <w:rPr>
          <w:rFonts w:hint="eastAsia" w:ascii="宋体"/>
          <w:color w:val="000000"/>
          <w:kern w:val="0"/>
          <w:szCs w:val="20"/>
          <w:lang w:val="en-US" w:eastAsia="zh-CN"/>
        </w:rPr>
        <w:t xml:space="preserve"> 农用地土壤污染风险管控标准（试行）</w:t>
      </w:r>
    </w:p>
    <w:p>
      <w:pPr>
        <w:spacing w:line="460" w:lineRule="exact"/>
        <w:ind w:firstLine="420"/>
        <w:rPr>
          <w:rFonts w:hint="eastAsia" w:ascii="宋体"/>
          <w:color w:val="000000"/>
          <w:kern w:val="0"/>
          <w:szCs w:val="20"/>
        </w:rPr>
      </w:pPr>
      <w:r>
        <w:rPr>
          <w:rFonts w:ascii="宋体"/>
          <w:color w:val="000000"/>
          <w:kern w:val="0"/>
          <w:szCs w:val="20"/>
        </w:rPr>
        <w:t>GB 3095</w:t>
      </w:r>
      <w:r>
        <w:rPr>
          <w:rFonts w:hint="eastAsia" w:ascii="宋体"/>
          <w:color w:val="000000"/>
          <w:kern w:val="0"/>
          <w:szCs w:val="20"/>
        </w:rPr>
        <w:t xml:space="preserve"> </w:t>
      </w:r>
      <w:r>
        <w:rPr>
          <w:rFonts w:ascii="宋体"/>
          <w:color w:val="000000"/>
          <w:kern w:val="0"/>
          <w:szCs w:val="20"/>
        </w:rPr>
        <w:t>环境</w:t>
      </w:r>
      <w:r>
        <w:rPr>
          <w:rFonts w:hint="eastAsia" w:ascii="宋体"/>
          <w:color w:val="000000"/>
          <w:kern w:val="0"/>
          <w:szCs w:val="20"/>
        </w:rPr>
        <w:t>空气</w:t>
      </w:r>
      <w:r>
        <w:rPr>
          <w:rFonts w:ascii="宋体"/>
          <w:color w:val="000000"/>
          <w:kern w:val="0"/>
          <w:szCs w:val="20"/>
        </w:rPr>
        <w:t xml:space="preserve">质量标准 </w:t>
      </w:r>
    </w:p>
    <w:p>
      <w:pPr>
        <w:spacing w:line="460" w:lineRule="exact"/>
        <w:ind w:firstLine="420"/>
        <w:rPr>
          <w:rFonts w:hint="eastAsia" w:ascii="宋体"/>
          <w:color w:val="000000"/>
          <w:kern w:val="0"/>
          <w:szCs w:val="20"/>
        </w:rPr>
      </w:pPr>
      <w:r>
        <w:rPr>
          <w:rFonts w:ascii="宋体"/>
          <w:color w:val="000000"/>
          <w:kern w:val="0"/>
          <w:szCs w:val="20"/>
        </w:rPr>
        <w:t>GB 5084 农田灌溉水质标准</w:t>
      </w:r>
    </w:p>
    <w:p>
      <w:pPr>
        <w:spacing w:line="460" w:lineRule="exact"/>
        <w:ind w:firstLine="420" w:firstLineChars="200"/>
        <w:rPr>
          <w:rFonts w:ascii="宋体"/>
          <w:kern w:val="0"/>
          <w:szCs w:val="20"/>
        </w:rPr>
      </w:pPr>
      <w:r>
        <w:rPr>
          <w:rFonts w:ascii="宋体"/>
          <w:kern w:val="0"/>
          <w:szCs w:val="20"/>
        </w:rPr>
        <w:t>GB/T 8321 农药合理使用准则（所有部分）</w:t>
      </w:r>
    </w:p>
    <w:p>
      <w:pPr>
        <w:pStyle w:val="25"/>
        <w:spacing w:before="0" w:beforeLines="0" w:after="0" w:afterLines="0" w:line="460" w:lineRule="exact"/>
        <w:rPr>
          <w:rFonts w:hint="eastAsia"/>
        </w:rPr>
      </w:pPr>
      <w:r>
        <w:rPr>
          <w:rFonts w:hint="eastAsia"/>
        </w:rPr>
        <w:t>术语和定义</w:t>
      </w:r>
    </w:p>
    <w:p>
      <w:pPr>
        <w:pStyle w:val="21"/>
        <w:spacing w:line="460" w:lineRule="exact"/>
        <w:rPr>
          <w:rFonts w:hint="eastAsia" w:ascii="Times New Roman"/>
          <w:kern w:val="2"/>
          <w:szCs w:val="24"/>
        </w:rPr>
      </w:pPr>
      <w:r>
        <w:rPr>
          <w:rFonts w:hint="eastAsia" w:ascii="Times New Roman"/>
          <w:kern w:val="2"/>
          <w:szCs w:val="24"/>
        </w:rPr>
        <w:t>下列术语和定义适用于本标准。</w:t>
      </w:r>
    </w:p>
    <w:p>
      <w:pPr>
        <w:spacing w:line="460" w:lineRule="exact"/>
        <w:ind w:firstLine="420" w:firstLineChars="200"/>
        <w:rPr>
          <w:rFonts w:hint="eastAsia"/>
        </w:rPr>
      </w:pPr>
      <w:r>
        <w:rPr>
          <w:rFonts w:hint="eastAsia"/>
        </w:rPr>
        <w:t>3.1茯苓</w:t>
      </w:r>
    </w:p>
    <w:p>
      <w:pPr>
        <w:spacing w:line="460" w:lineRule="exact"/>
        <w:ind w:firstLine="420"/>
        <w:rPr>
          <w:rFonts w:hint="eastAsia"/>
        </w:rPr>
      </w:pPr>
      <w:r>
        <w:rPr>
          <w:rFonts w:hint="eastAsia"/>
        </w:rPr>
        <w:t>多孔菌科真菌茯苓（</w:t>
      </w:r>
      <w:r>
        <w:rPr>
          <w:rFonts w:hint="eastAsia"/>
          <w:i/>
          <w:iCs/>
        </w:rPr>
        <w:t xml:space="preserve">poria cocos </w:t>
      </w:r>
      <w:r>
        <w:rPr>
          <w:rFonts w:hint="eastAsia"/>
        </w:rPr>
        <w:t>(Schw.) Wolf.）的干燥菌核。</w:t>
      </w:r>
    </w:p>
    <w:p>
      <w:pPr>
        <w:spacing w:line="460" w:lineRule="exact"/>
        <w:ind w:firstLine="420" w:firstLineChars="200"/>
        <w:rPr>
          <w:rFonts w:hint="eastAsia"/>
        </w:rPr>
      </w:pPr>
      <w:r>
        <w:rPr>
          <w:rFonts w:hint="eastAsia"/>
        </w:rPr>
        <w:t>3.2 林下种植</w:t>
      </w:r>
    </w:p>
    <w:p>
      <w:pPr>
        <w:spacing w:line="460" w:lineRule="exact"/>
        <w:ind w:firstLine="420"/>
        <w:rPr>
          <w:rFonts w:hint="eastAsia"/>
        </w:rPr>
      </w:pPr>
      <w:r>
        <w:rPr>
          <w:rFonts w:hint="eastAsia"/>
        </w:rPr>
        <w:t>充分利用林下资源，选择适合林下生长的植物或微生物（菌类）种类，进行合理种植的一种林业综合经营模式。</w:t>
      </w:r>
    </w:p>
    <w:p>
      <w:pPr>
        <w:spacing w:line="460" w:lineRule="exact"/>
        <w:ind w:firstLine="42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3.3 苓场</w:t>
      </w:r>
    </w:p>
    <w:p>
      <w:pPr>
        <w:spacing w:line="460" w:lineRule="exact"/>
        <w:ind w:firstLine="420" w:firstLineChars="200"/>
        <w:rPr>
          <w:rFonts w:hint="eastAsia"/>
        </w:rPr>
      </w:pPr>
      <w:r>
        <w:rPr>
          <w:rFonts w:hint="eastAsia"/>
          <w:lang w:val="en-US" w:eastAsia="zh-CN"/>
        </w:rPr>
        <w:t>种植茯苓的场地。</w:t>
      </w:r>
    </w:p>
    <w:p>
      <w:pPr>
        <w:spacing w:line="460" w:lineRule="exact"/>
        <w:ind w:firstLine="420" w:firstLineChars="200"/>
        <w:rPr>
          <w:rFonts w:hint="eastAsia"/>
        </w:rPr>
      </w:pPr>
      <w:r>
        <w:rPr>
          <w:rFonts w:hint="eastAsia"/>
        </w:rPr>
        <w:t>3.</w:t>
      </w:r>
      <w:r>
        <w:rPr>
          <w:rFonts w:hint="eastAsia"/>
          <w:lang w:val="en-US" w:eastAsia="zh-CN"/>
        </w:rPr>
        <w:t>4</w:t>
      </w:r>
      <w:r>
        <w:rPr>
          <w:rFonts w:hint="eastAsia"/>
        </w:rPr>
        <w:t xml:space="preserve"> 剔枝留梢</w:t>
      </w:r>
    </w:p>
    <w:p>
      <w:pPr>
        <w:spacing w:line="460" w:lineRule="exact"/>
        <w:ind w:firstLine="420" w:firstLineChars="200"/>
        <w:rPr>
          <w:rFonts w:hint="eastAsia"/>
        </w:rPr>
      </w:pPr>
      <w:r>
        <w:rPr>
          <w:rFonts w:hint="eastAsia"/>
        </w:rPr>
        <w:t>处理茯苓培养料的一种方法。在晴天，将选好的松树砍倒后，立即剔去较大树枝，</w:t>
      </w:r>
      <w:r>
        <w:rPr>
          <w:rFonts w:hint="eastAsia"/>
          <w:lang w:eastAsia="zh-CN"/>
        </w:rPr>
        <w:t>仅</w:t>
      </w:r>
      <w:r>
        <w:rPr>
          <w:rFonts w:hint="eastAsia"/>
        </w:rPr>
        <w:t>保留树顶部分小枝及树叶。</w:t>
      </w:r>
    </w:p>
    <w:p>
      <w:pPr>
        <w:spacing w:line="460" w:lineRule="exact"/>
        <w:ind w:firstLine="420" w:firstLineChars="200"/>
        <w:rPr>
          <w:rFonts w:hint="eastAsia"/>
        </w:rPr>
      </w:pPr>
      <w:r>
        <w:rPr>
          <w:rFonts w:hint="eastAsia"/>
        </w:rPr>
        <w:t>3.</w:t>
      </w:r>
      <w:r>
        <w:rPr>
          <w:rFonts w:hint="eastAsia"/>
          <w:lang w:val="en-US" w:eastAsia="zh-CN"/>
        </w:rPr>
        <w:t>5</w:t>
      </w:r>
      <w:r>
        <w:rPr>
          <w:rFonts w:hint="eastAsia"/>
        </w:rPr>
        <w:t xml:space="preserve"> 削皮留筋</w:t>
      </w:r>
    </w:p>
    <w:p>
      <w:pPr>
        <w:spacing w:line="460" w:lineRule="exact"/>
        <w:ind w:firstLine="420" w:firstLineChars="200"/>
      </w:pPr>
      <w:r>
        <w:rPr>
          <w:rFonts w:hint="eastAsia"/>
        </w:rPr>
        <w:t>处理茯苓培养料的一种方法。将剔枝留梢的松树，由树梢向树兜每间隔3cm</w:t>
      </w:r>
      <w:r>
        <w:rPr>
          <w:rFonts w:hint="eastAsia"/>
          <w:lang w:val="en-US" w:eastAsia="zh-CN"/>
        </w:rPr>
        <w:t>-5cm</w:t>
      </w:r>
      <w:r>
        <w:rPr>
          <w:rFonts w:hint="eastAsia"/>
        </w:rPr>
        <w:t>纵向削去宽约3cm的树皮，削至木质部，对削对留。</w:t>
      </w:r>
    </w:p>
    <w:p>
      <w:pPr>
        <w:spacing w:line="460" w:lineRule="exact"/>
        <w:ind w:firstLine="420" w:firstLineChars="200"/>
        <w:rPr>
          <w:rFonts w:hint="eastAsia"/>
        </w:rPr>
      </w:pPr>
      <w:r>
        <w:rPr>
          <w:rFonts w:hint="eastAsia"/>
        </w:rPr>
        <w:t>3.</w:t>
      </w:r>
      <w:r>
        <w:rPr>
          <w:rFonts w:hint="eastAsia"/>
          <w:lang w:val="en-US" w:eastAsia="zh-CN"/>
        </w:rPr>
        <w:t>6</w:t>
      </w:r>
      <w:r>
        <w:rPr>
          <w:rFonts w:hint="eastAsia"/>
        </w:rPr>
        <w:t xml:space="preserve"> 上引</w:t>
      </w:r>
    </w:p>
    <w:p>
      <w:pPr>
        <w:spacing w:line="460" w:lineRule="exact"/>
        <w:ind w:firstLine="420" w:firstLineChars="200"/>
        <w:rPr>
          <w:rFonts w:hint="eastAsia"/>
        </w:rPr>
      </w:pPr>
      <w:r>
        <w:rPr>
          <w:rFonts w:hint="eastAsia"/>
        </w:rPr>
        <w:t>培养料接种后，菌种上的菌丝向外蔓延生长至培养料上的现象。</w:t>
      </w:r>
    </w:p>
    <w:p>
      <w:pPr>
        <w:spacing w:line="460" w:lineRule="exact"/>
        <w:ind w:firstLine="420" w:firstLineChars="200"/>
        <w:rPr>
          <w:rFonts w:hint="eastAsia"/>
        </w:rPr>
      </w:pPr>
      <w:r>
        <w:rPr>
          <w:rFonts w:hint="eastAsia"/>
        </w:rPr>
        <w:t>3.7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</w:rPr>
        <w:t>种植槽</w:t>
      </w:r>
    </w:p>
    <w:p>
      <w:pPr>
        <w:spacing w:line="460" w:lineRule="exact"/>
        <w:ind w:firstLine="420" w:firstLineChars="200"/>
        <w:rPr>
          <w:rFonts w:hint="eastAsia"/>
        </w:rPr>
      </w:pPr>
      <w:r>
        <w:rPr>
          <w:rFonts w:hint="eastAsia"/>
        </w:rPr>
        <w:t>人工或机械开挖用于置放培养料以生产茯苓的沟槽。</w:t>
      </w:r>
    </w:p>
    <w:p>
      <w:pPr>
        <w:spacing w:line="460" w:lineRule="exact"/>
        <w:rPr>
          <w:rFonts w:ascii="黑体" w:eastAsia="黑体"/>
          <w:kern w:val="0"/>
          <w:szCs w:val="20"/>
        </w:rPr>
      </w:pPr>
      <w:r>
        <w:rPr>
          <w:rFonts w:hint="eastAsia" w:ascii="黑体" w:eastAsia="黑体"/>
          <w:kern w:val="0"/>
          <w:szCs w:val="20"/>
        </w:rPr>
        <w:t>4  栽培环境</w:t>
      </w:r>
    </w:p>
    <w:p>
      <w:pPr>
        <w:spacing w:line="460" w:lineRule="exact"/>
        <w:ind w:firstLine="420"/>
        <w:rPr>
          <w:rFonts w:hint="eastAsia"/>
          <w:szCs w:val="21"/>
        </w:rPr>
      </w:pPr>
      <w:r>
        <w:rPr>
          <w:rFonts w:hint="eastAsia"/>
          <w:szCs w:val="21"/>
        </w:rPr>
        <w:t>海拔高度300m-</w:t>
      </w:r>
      <w:r>
        <w:rPr>
          <w:rFonts w:hint="eastAsia"/>
          <w:szCs w:val="21"/>
          <w:lang w:val="en-US" w:eastAsia="zh-CN"/>
        </w:rPr>
        <w:t>2</w:t>
      </w:r>
      <w:r>
        <w:rPr>
          <w:rFonts w:hint="eastAsia"/>
          <w:szCs w:val="21"/>
        </w:rPr>
        <w:t>000m。</w:t>
      </w:r>
      <w:r>
        <w:rPr>
          <w:szCs w:val="21"/>
        </w:rPr>
        <w:t>空气环境质量符合GB 3095要求。土壤环境质量符合GB</w:t>
      </w:r>
      <w:r>
        <w:rPr>
          <w:rFonts w:hint="eastAsia"/>
          <w:szCs w:val="21"/>
        </w:rPr>
        <w:t xml:space="preserve"> </w:t>
      </w:r>
      <w:r>
        <w:rPr>
          <w:szCs w:val="21"/>
        </w:rPr>
        <w:t>15618要求</w:t>
      </w:r>
      <w:r>
        <w:rPr>
          <w:rFonts w:hint="eastAsia"/>
          <w:szCs w:val="21"/>
        </w:rPr>
        <w:t>，pH值</w:t>
      </w:r>
      <w:r>
        <w:rPr>
          <w:rFonts w:hint="eastAsia"/>
          <w:szCs w:val="21"/>
          <w:lang w:val="en-US" w:eastAsia="zh-CN"/>
        </w:rPr>
        <w:t>5-7</w:t>
      </w:r>
      <w:r>
        <w:rPr>
          <w:rFonts w:hint="eastAsia"/>
          <w:szCs w:val="21"/>
        </w:rPr>
        <w:t>。水源质量</w:t>
      </w:r>
      <w:r>
        <w:rPr>
          <w:szCs w:val="21"/>
        </w:rPr>
        <w:t>符合GB 5084要求。</w:t>
      </w:r>
    </w:p>
    <w:p>
      <w:pPr>
        <w:spacing w:line="460" w:lineRule="exact"/>
        <w:rPr>
          <w:rFonts w:hint="eastAsia" w:ascii="黑体" w:eastAsia="黑体"/>
          <w:kern w:val="0"/>
          <w:szCs w:val="20"/>
        </w:rPr>
      </w:pPr>
      <w:r>
        <w:rPr>
          <w:rFonts w:hint="eastAsia" w:ascii="黑体" w:eastAsia="黑体"/>
          <w:kern w:val="0"/>
          <w:szCs w:val="20"/>
        </w:rPr>
        <w:t xml:space="preserve">5  </w:t>
      </w:r>
      <w:r>
        <w:rPr>
          <w:rFonts w:hint="eastAsia" w:ascii="黑体" w:eastAsia="黑体"/>
          <w:kern w:val="0"/>
          <w:szCs w:val="20"/>
          <w:lang w:eastAsia="zh-CN"/>
        </w:rPr>
        <w:t>苓场</w:t>
      </w:r>
      <w:r>
        <w:rPr>
          <w:rFonts w:hint="eastAsia" w:ascii="黑体" w:eastAsia="黑体"/>
          <w:kern w:val="0"/>
          <w:szCs w:val="20"/>
        </w:rPr>
        <w:t>选择</w:t>
      </w:r>
    </w:p>
    <w:p>
      <w:pPr>
        <w:spacing w:line="460" w:lineRule="exact"/>
        <w:ind w:firstLine="420"/>
        <w:rPr>
          <w:rFonts w:hint="eastAsia"/>
          <w:szCs w:val="21"/>
        </w:rPr>
      </w:pPr>
      <w:r>
        <w:rPr>
          <w:rFonts w:hint="eastAsia"/>
          <w:szCs w:val="21"/>
        </w:rPr>
        <w:t>选择向阳、排水良好、无白蚁滋生</w:t>
      </w:r>
      <w:r>
        <w:rPr>
          <w:rFonts w:hint="eastAsia"/>
          <w:szCs w:val="21"/>
          <w:lang w:eastAsia="zh-CN"/>
        </w:rPr>
        <w:t>、无松材线虫</w:t>
      </w:r>
      <w:r>
        <w:rPr>
          <w:rFonts w:hint="eastAsia"/>
          <w:szCs w:val="21"/>
        </w:rPr>
        <w:t>的3年内未种植过茯苓的松林地，林地坡度</w:t>
      </w:r>
      <w:r>
        <w:rPr>
          <w:rFonts w:hint="eastAsia" w:ascii="东文宋体" w:hAnsi="东文宋体" w:eastAsia="东文宋体" w:cs="东文宋体"/>
          <w:szCs w:val="21"/>
        </w:rPr>
        <w:t>≤</w:t>
      </w:r>
      <w:r>
        <w:rPr>
          <w:rFonts w:hint="eastAsia"/>
          <w:szCs w:val="21"/>
        </w:rPr>
        <w:t>30</w:t>
      </w:r>
      <w:r>
        <w:rPr>
          <w:szCs w:val="21"/>
        </w:rPr>
        <w:t>°</w:t>
      </w:r>
      <w:r>
        <w:rPr>
          <w:rFonts w:hint="eastAsia"/>
          <w:szCs w:val="21"/>
        </w:rPr>
        <w:t>。</w:t>
      </w:r>
    </w:p>
    <w:p>
      <w:pPr>
        <w:spacing w:line="460" w:lineRule="exact"/>
        <w:rPr>
          <w:rFonts w:hint="eastAsia" w:ascii="黑体" w:eastAsia="黑体"/>
          <w:color w:val="000000"/>
          <w:kern w:val="0"/>
          <w:szCs w:val="20"/>
        </w:rPr>
      </w:pPr>
      <w:r>
        <w:rPr>
          <w:rFonts w:hint="eastAsia" w:ascii="黑体" w:eastAsia="黑体"/>
          <w:color w:val="000000"/>
          <w:kern w:val="0"/>
          <w:szCs w:val="20"/>
        </w:rPr>
        <w:t>6  种植技术</w:t>
      </w:r>
    </w:p>
    <w:p>
      <w:pPr>
        <w:spacing w:line="460" w:lineRule="exact"/>
        <w:ind w:firstLine="420"/>
        <w:rPr>
          <w:rFonts w:hint="eastAsia"/>
          <w:color w:val="000000"/>
          <w:szCs w:val="21"/>
        </w:rPr>
      </w:pPr>
      <w:r>
        <w:rPr>
          <w:rFonts w:hint="eastAsia"/>
          <w:color w:val="000000"/>
          <w:szCs w:val="21"/>
        </w:rPr>
        <w:t>6.1</w:t>
      </w:r>
      <w:r>
        <w:rPr>
          <w:color w:val="000000"/>
          <w:szCs w:val="21"/>
        </w:rPr>
        <w:t xml:space="preserve"> </w:t>
      </w:r>
      <w:r>
        <w:rPr>
          <w:rFonts w:hint="eastAsia"/>
          <w:color w:val="000000"/>
          <w:szCs w:val="21"/>
        </w:rPr>
        <w:t>种植前准备</w:t>
      </w:r>
    </w:p>
    <w:p>
      <w:pPr>
        <w:spacing w:line="460" w:lineRule="exact"/>
        <w:ind w:firstLine="420"/>
        <w:rPr>
          <w:rFonts w:hint="eastAsia"/>
          <w:color w:val="000000"/>
          <w:szCs w:val="21"/>
        </w:rPr>
      </w:pPr>
      <w:r>
        <w:rPr>
          <w:rFonts w:hint="eastAsia"/>
          <w:color w:val="000000"/>
          <w:szCs w:val="21"/>
        </w:rPr>
        <w:t xml:space="preserve">6.1.1 </w:t>
      </w:r>
      <w:r>
        <w:rPr>
          <w:rFonts w:hint="eastAsia"/>
          <w:color w:val="000000"/>
          <w:szCs w:val="21"/>
          <w:lang w:eastAsia="zh-CN"/>
        </w:rPr>
        <w:t>苓场</w:t>
      </w:r>
      <w:r>
        <w:rPr>
          <w:rFonts w:hint="eastAsia"/>
          <w:color w:val="000000"/>
          <w:szCs w:val="21"/>
        </w:rPr>
        <w:t>准备</w:t>
      </w:r>
    </w:p>
    <w:p>
      <w:pPr>
        <w:spacing w:line="460" w:lineRule="exact"/>
        <w:ind w:firstLine="420"/>
        <w:rPr>
          <w:rFonts w:hint="eastAsia"/>
          <w:color w:val="000000"/>
          <w:szCs w:val="21"/>
        </w:rPr>
      </w:pPr>
      <w:r>
        <w:rPr>
          <w:rFonts w:hint="eastAsia"/>
          <w:color w:val="000000"/>
          <w:szCs w:val="21"/>
        </w:rPr>
        <w:t>冬季至早春，</w:t>
      </w:r>
      <w:r>
        <w:rPr>
          <w:rFonts w:hint="eastAsia"/>
          <w:color w:val="000000"/>
          <w:szCs w:val="21"/>
          <w:lang w:eastAsia="zh-CN"/>
        </w:rPr>
        <w:t>将选择的苓场内</w:t>
      </w:r>
      <w:r>
        <w:rPr>
          <w:rFonts w:hint="eastAsia"/>
          <w:color w:val="000000"/>
          <w:szCs w:val="21"/>
        </w:rPr>
        <w:t>10cm-20cm</w:t>
      </w:r>
      <w:r>
        <w:rPr>
          <w:rFonts w:hint="eastAsia"/>
          <w:color w:val="000000"/>
          <w:szCs w:val="21"/>
          <w:lang w:eastAsia="zh-CN"/>
        </w:rPr>
        <w:t>的松树间伐备用，</w:t>
      </w:r>
      <w:r>
        <w:rPr>
          <w:rFonts w:hint="eastAsia"/>
          <w:color w:val="000000"/>
          <w:szCs w:val="21"/>
        </w:rPr>
        <w:t>对</w:t>
      </w:r>
      <w:r>
        <w:rPr>
          <w:rFonts w:hint="eastAsia"/>
          <w:color w:val="000000"/>
          <w:szCs w:val="21"/>
          <w:lang w:eastAsia="zh-CN"/>
        </w:rPr>
        <w:t>苓场</w:t>
      </w:r>
      <w:r>
        <w:rPr>
          <w:rFonts w:hint="eastAsia"/>
          <w:color w:val="000000"/>
          <w:szCs w:val="21"/>
        </w:rPr>
        <w:t>进行翻耕，清理</w:t>
      </w:r>
      <w:r>
        <w:rPr>
          <w:rFonts w:hint="eastAsia"/>
          <w:color w:val="000000"/>
          <w:szCs w:val="21"/>
          <w:lang w:eastAsia="zh-CN"/>
        </w:rPr>
        <w:t>苓场</w:t>
      </w:r>
      <w:r>
        <w:rPr>
          <w:rFonts w:hint="eastAsia"/>
          <w:color w:val="000000"/>
          <w:szCs w:val="21"/>
        </w:rPr>
        <w:t>内的杂草、树根和石块等杂物。</w:t>
      </w:r>
    </w:p>
    <w:p>
      <w:pPr>
        <w:spacing w:line="460" w:lineRule="exact"/>
        <w:ind w:firstLine="420"/>
        <w:rPr>
          <w:rFonts w:hint="eastAsia"/>
          <w:color w:val="000000"/>
          <w:szCs w:val="21"/>
        </w:rPr>
      </w:pPr>
      <w:r>
        <w:rPr>
          <w:rFonts w:hint="eastAsia"/>
          <w:color w:val="000000"/>
          <w:szCs w:val="21"/>
        </w:rPr>
        <w:t>6.1.2 培养料准备</w:t>
      </w:r>
    </w:p>
    <w:p>
      <w:pPr>
        <w:spacing w:line="460" w:lineRule="exact"/>
        <w:ind w:firstLine="420"/>
        <w:rPr>
          <w:rFonts w:hint="eastAsia"/>
          <w:color w:val="000000"/>
          <w:szCs w:val="21"/>
        </w:rPr>
      </w:pPr>
      <w:r>
        <w:rPr>
          <w:rFonts w:hint="eastAsia"/>
          <w:color w:val="000000"/>
          <w:szCs w:val="21"/>
        </w:rPr>
        <w:t>6.1.2.1 树种选择</w:t>
      </w:r>
    </w:p>
    <w:p>
      <w:pPr>
        <w:widowControl/>
        <w:spacing w:line="460" w:lineRule="exact"/>
        <w:ind w:firstLine="420" w:firstLineChars="200"/>
        <w:jc w:val="left"/>
        <w:rPr>
          <w:color w:val="000000"/>
          <w:szCs w:val="21"/>
        </w:rPr>
      </w:pPr>
      <w:r>
        <w:rPr>
          <w:rFonts w:hint="eastAsia"/>
          <w:color w:val="000000"/>
          <w:szCs w:val="21"/>
        </w:rPr>
        <w:t>以马尾松为主的松属（</w:t>
      </w:r>
      <w:r>
        <w:rPr>
          <w:rFonts w:ascii="sans-serif" w:hAnsi="sans-serif" w:cs="sans-serif"/>
          <w:i/>
          <w:iCs/>
          <w:color w:val="333333"/>
          <w:kern w:val="0"/>
          <w:szCs w:val="21"/>
          <w:shd w:val="clear" w:color="auto" w:fill="FFFFFF"/>
          <w:lang w:bidi="ar"/>
        </w:rPr>
        <w:t>Pinus Linn</w:t>
      </w:r>
      <w:r>
        <w:rPr>
          <w:rFonts w:hint="eastAsia"/>
          <w:color w:val="000000"/>
          <w:szCs w:val="21"/>
        </w:rPr>
        <w:t>）植物。</w:t>
      </w:r>
    </w:p>
    <w:p>
      <w:pPr>
        <w:spacing w:line="460" w:lineRule="exact"/>
        <w:ind w:firstLine="420"/>
        <w:rPr>
          <w:color w:val="000000"/>
          <w:szCs w:val="21"/>
        </w:rPr>
      </w:pPr>
      <w:r>
        <w:rPr>
          <w:rFonts w:hint="eastAsia"/>
          <w:color w:val="000000"/>
          <w:szCs w:val="21"/>
        </w:rPr>
        <w:t>6.1.2.2 时间</w:t>
      </w:r>
    </w:p>
    <w:p>
      <w:pPr>
        <w:spacing w:line="460" w:lineRule="exact"/>
        <w:ind w:firstLine="420"/>
        <w:rPr>
          <w:rFonts w:hint="eastAsia"/>
          <w:color w:val="000000"/>
          <w:szCs w:val="21"/>
        </w:rPr>
      </w:pPr>
      <w:r>
        <w:rPr>
          <w:rFonts w:hint="eastAsia"/>
          <w:color w:val="000000"/>
          <w:szCs w:val="21"/>
        </w:rPr>
        <w:t>10月至12月。</w:t>
      </w:r>
    </w:p>
    <w:p>
      <w:pPr>
        <w:spacing w:line="460" w:lineRule="exact"/>
        <w:ind w:firstLine="420"/>
        <w:rPr>
          <w:rFonts w:hint="eastAsia"/>
          <w:color w:val="000000"/>
          <w:szCs w:val="21"/>
        </w:rPr>
      </w:pPr>
      <w:r>
        <w:rPr>
          <w:rFonts w:hint="eastAsia"/>
          <w:color w:val="000000"/>
          <w:szCs w:val="21"/>
        </w:rPr>
        <w:t>6.1.2.3 培养料处理</w:t>
      </w:r>
    </w:p>
    <w:p>
      <w:pPr>
        <w:spacing w:line="460" w:lineRule="exact"/>
        <w:ind w:firstLine="420" w:firstLineChars="200"/>
        <w:contextualSpacing/>
        <w:rPr>
          <w:color w:val="000000"/>
          <w:szCs w:val="21"/>
        </w:rPr>
      </w:pPr>
      <w:r>
        <w:rPr>
          <w:rFonts w:hint="eastAsia"/>
          <w:color w:val="000000"/>
          <w:szCs w:val="21"/>
        </w:rPr>
        <w:t>将胸径10cm-20cm左右</w:t>
      </w:r>
      <w:r>
        <w:rPr>
          <w:rFonts w:hint="eastAsia"/>
        </w:rPr>
        <w:t>的松树剔枝留梢，削皮留筋后锯成长1</w:t>
      </w:r>
      <w:r>
        <w:rPr>
          <w:rFonts w:hint="eastAsia"/>
          <w:lang w:val="en-US" w:eastAsia="zh-CN"/>
        </w:rPr>
        <w:t>0</w:t>
      </w:r>
      <w:r>
        <w:rPr>
          <w:rFonts w:hint="eastAsia"/>
        </w:rPr>
        <w:t>0cm的小段，按“井”字形堆垛于干燥向阳处，垛的四周开排水沟，沟旁施撒石灰粉。经3个月至4个月，待段木晒干至出现裂口、敲之发出清脆响声、两端无松脂分泌时即可</w:t>
      </w:r>
      <w:r>
        <w:rPr>
          <w:rFonts w:hint="eastAsia"/>
          <w:lang w:eastAsia="zh-CN"/>
        </w:rPr>
        <w:t>使</w:t>
      </w:r>
      <w:r>
        <w:rPr>
          <w:rFonts w:hint="eastAsia"/>
        </w:rPr>
        <w:t>用。</w:t>
      </w:r>
      <w:r>
        <w:rPr>
          <w:rFonts w:hint="eastAsia"/>
          <w:color w:val="000000"/>
          <w:szCs w:val="21"/>
        </w:rPr>
        <w:t xml:space="preserve">                </w:t>
      </w:r>
    </w:p>
    <w:p>
      <w:pPr>
        <w:spacing w:line="460" w:lineRule="exact"/>
        <w:ind w:firstLine="420"/>
        <w:rPr>
          <w:color w:val="000000"/>
          <w:szCs w:val="21"/>
        </w:rPr>
      </w:pPr>
      <w:r>
        <w:rPr>
          <w:rFonts w:hint="eastAsia"/>
          <w:color w:val="000000"/>
          <w:szCs w:val="21"/>
        </w:rPr>
        <w:t>6.1.3 菌种准备</w:t>
      </w:r>
    </w:p>
    <w:p>
      <w:pPr>
        <w:spacing w:line="460" w:lineRule="exact"/>
        <w:ind w:firstLine="420"/>
        <w:rPr>
          <w:color w:val="000000"/>
          <w:szCs w:val="21"/>
        </w:rPr>
      </w:pPr>
      <w:r>
        <w:rPr>
          <w:rFonts w:hint="eastAsia"/>
          <w:color w:val="000000"/>
          <w:szCs w:val="21"/>
        </w:rPr>
        <w:t>选择适宜广元种植的优质高产茯苓栽培种</w:t>
      </w:r>
      <w:r>
        <w:rPr>
          <w:rFonts w:hint="eastAsia"/>
          <w:color w:val="000000"/>
          <w:szCs w:val="21"/>
          <w:lang w:eastAsia="zh-CN"/>
        </w:rPr>
        <w:t>，如</w:t>
      </w:r>
      <w:r>
        <w:rPr>
          <w:rFonts w:hint="eastAsia"/>
          <w:color w:val="000000"/>
          <w:szCs w:val="21"/>
        </w:rPr>
        <w:t>茯苓578、湘靖-28</w:t>
      </w:r>
      <w:r>
        <w:rPr>
          <w:rFonts w:hint="eastAsia"/>
          <w:color w:val="000000"/>
          <w:szCs w:val="21"/>
          <w:lang w:eastAsia="zh-CN"/>
        </w:rPr>
        <w:t>和</w:t>
      </w:r>
      <w:r>
        <w:rPr>
          <w:rFonts w:hint="eastAsia"/>
          <w:color w:val="000000"/>
          <w:szCs w:val="21"/>
        </w:rPr>
        <w:t>鄂E1。菌袋完整无破损，肉眼观测无绿色、黑色或棕色霉菌，手握感觉坚实、无松散；菌丝洁白致密，生长均匀，布满菌袋内；菌龄30d-</w:t>
      </w:r>
      <w:r>
        <w:rPr>
          <w:rFonts w:hint="eastAsia"/>
          <w:color w:val="000000"/>
          <w:szCs w:val="21"/>
          <w:lang w:val="en-US" w:eastAsia="zh-CN"/>
        </w:rPr>
        <w:t>55</w:t>
      </w:r>
      <w:r>
        <w:rPr>
          <w:rFonts w:hint="eastAsia"/>
          <w:color w:val="000000"/>
          <w:szCs w:val="21"/>
        </w:rPr>
        <w:t>d。</w:t>
      </w:r>
    </w:p>
    <w:p>
      <w:pPr>
        <w:spacing w:line="460" w:lineRule="exact"/>
        <w:ind w:firstLine="420"/>
        <w:rPr>
          <w:rFonts w:hint="eastAsia"/>
          <w:color w:val="000000"/>
          <w:szCs w:val="21"/>
        </w:rPr>
      </w:pPr>
      <w:r>
        <w:rPr>
          <w:rFonts w:hint="eastAsia"/>
          <w:color w:val="000000"/>
          <w:szCs w:val="21"/>
        </w:rPr>
        <w:t>6.2 种植</w:t>
      </w:r>
    </w:p>
    <w:p>
      <w:pPr>
        <w:spacing w:line="460" w:lineRule="exact"/>
        <w:ind w:firstLine="420"/>
        <w:rPr>
          <w:rFonts w:hint="eastAsia"/>
          <w:color w:val="000000"/>
          <w:szCs w:val="21"/>
        </w:rPr>
      </w:pPr>
      <w:r>
        <w:rPr>
          <w:rFonts w:hint="eastAsia"/>
          <w:color w:val="000000"/>
          <w:szCs w:val="21"/>
        </w:rPr>
        <w:t>6.2.1 种植时间</w:t>
      </w:r>
    </w:p>
    <w:p>
      <w:pPr>
        <w:spacing w:line="460" w:lineRule="exact"/>
        <w:ind w:firstLine="420"/>
        <w:rPr>
          <w:color w:val="000000"/>
          <w:szCs w:val="21"/>
        </w:rPr>
      </w:pPr>
      <w:r>
        <w:rPr>
          <w:rFonts w:hint="eastAsia"/>
          <w:color w:val="000000"/>
          <w:szCs w:val="21"/>
        </w:rPr>
        <w:t>3月下旬至5月下旬的晴天或阴天，雨天或连续降雨后不能种植。</w:t>
      </w:r>
    </w:p>
    <w:p>
      <w:pPr>
        <w:spacing w:line="460" w:lineRule="exact"/>
        <w:ind w:firstLine="420"/>
        <w:rPr>
          <w:rFonts w:hint="eastAsia"/>
          <w:color w:val="000000"/>
          <w:szCs w:val="21"/>
        </w:rPr>
      </w:pPr>
      <w:r>
        <w:rPr>
          <w:rFonts w:hint="eastAsia"/>
          <w:color w:val="000000"/>
          <w:szCs w:val="21"/>
        </w:rPr>
        <w:t>6.2.2 种植方法</w:t>
      </w:r>
    </w:p>
    <w:p>
      <w:pPr>
        <w:spacing w:line="460" w:lineRule="exact"/>
        <w:ind w:firstLine="420"/>
        <w:rPr>
          <w:rFonts w:hint="eastAsia" w:eastAsia="宋体"/>
          <w:color w:val="000000"/>
          <w:szCs w:val="21"/>
          <w:lang w:eastAsia="zh-CN"/>
        </w:rPr>
      </w:pPr>
      <w:r>
        <w:rPr>
          <w:rFonts w:hint="eastAsia"/>
          <w:color w:val="000000"/>
          <w:szCs w:val="21"/>
        </w:rPr>
        <w:t>6.2.2.1 挖</w:t>
      </w:r>
      <w:r>
        <w:rPr>
          <w:rFonts w:hint="eastAsia"/>
          <w:color w:val="000000"/>
          <w:szCs w:val="21"/>
          <w:lang w:eastAsia="zh-CN"/>
        </w:rPr>
        <w:t>种植槽</w:t>
      </w:r>
    </w:p>
    <w:p>
      <w:pPr>
        <w:spacing w:line="460" w:lineRule="exact"/>
        <w:ind w:firstLine="420"/>
        <w:rPr>
          <w:rFonts w:hint="eastAsia"/>
          <w:color w:val="000000"/>
          <w:szCs w:val="21"/>
        </w:rPr>
      </w:pPr>
      <w:r>
        <w:rPr>
          <w:rFonts w:hint="eastAsia"/>
          <w:color w:val="000000"/>
          <w:szCs w:val="21"/>
        </w:rPr>
        <w:t>纵向顺坡挖种植槽，种植槽底部呈一侧高一侧低形态，左右高差不低于10cm，单种植槽长80cm（垂直坡向）、宽50cm（顺坡向）、深20cm，</w:t>
      </w:r>
      <w:r>
        <w:rPr>
          <w:rFonts w:hint="eastAsia"/>
          <w:color w:val="000000"/>
          <w:szCs w:val="21"/>
          <w:lang w:eastAsia="zh-CN"/>
        </w:rPr>
        <w:t>种植槽</w:t>
      </w:r>
      <w:r>
        <w:rPr>
          <w:rFonts w:hint="eastAsia"/>
          <w:color w:val="000000"/>
          <w:szCs w:val="21"/>
        </w:rPr>
        <w:t>间距不低于15cm，视地形顺坡挖排水沟，排水沟要低于菌种置放位置。</w:t>
      </w:r>
    </w:p>
    <w:p>
      <w:pPr>
        <w:spacing w:line="460" w:lineRule="exact"/>
        <w:ind w:firstLine="420"/>
        <w:rPr>
          <w:rFonts w:hint="eastAsia"/>
          <w:color w:val="000000"/>
          <w:szCs w:val="21"/>
        </w:rPr>
      </w:pPr>
      <w:r>
        <w:rPr>
          <w:rFonts w:hint="eastAsia"/>
          <w:color w:val="000000"/>
          <w:szCs w:val="21"/>
        </w:rPr>
        <w:t>6.2.2.2 放料</w:t>
      </w:r>
    </w:p>
    <w:p>
      <w:pPr>
        <w:spacing w:line="460" w:lineRule="exact"/>
        <w:ind w:firstLine="420"/>
        <w:rPr>
          <w:color w:val="000000"/>
          <w:szCs w:val="21"/>
        </w:rPr>
      </w:pPr>
      <w:r>
        <w:rPr>
          <w:rFonts w:hint="eastAsia"/>
          <w:color w:val="000000"/>
          <w:szCs w:val="21"/>
        </w:rPr>
        <w:t>先将准备好的培养料锯成</w:t>
      </w:r>
      <w:r>
        <w:rPr>
          <w:rFonts w:hint="eastAsia"/>
          <w:color w:val="000000"/>
          <w:szCs w:val="21"/>
          <w:lang w:val="en-US" w:eastAsia="zh-CN"/>
        </w:rPr>
        <w:t>5</w:t>
      </w:r>
      <w:r>
        <w:rPr>
          <w:rFonts w:hint="eastAsia"/>
          <w:color w:val="000000"/>
          <w:szCs w:val="21"/>
        </w:rPr>
        <w:t>0cm长的段木，然后将段木新</w:t>
      </w:r>
      <w:r>
        <w:rPr>
          <w:rFonts w:hint="eastAsia"/>
          <w:color w:val="000000"/>
          <w:szCs w:val="21"/>
          <w:lang w:eastAsia="zh-CN"/>
        </w:rPr>
        <w:t>截面</w:t>
      </w:r>
      <w:r>
        <w:rPr>
          <w:rFonts w:hint="eastAsia"/>
          <w:color w:val="000000"/>
          <w:szCs w:val="21"/>
        </w:rPr>
        <w:t>朝向</w:t>
      </w:r>
      <w:r>
        <w:rPr>
          <w:rFonts w:hint="eastAsia"/>
          <w:color w:val="000000"/>
          <w:szCs w:val="21"/>
          <w:lang w:eastAsia="zh-CN"/>
        </w:rPr>
        <w:t>种植槽</w:t>
      </w:r>
      <w:r>
        <w:rPr>
          <w:rFonts w:hint="eastAsia"/>
          <w:color w:val="000000"/>
          <w:szCs w:val="21"/>
        </w:rPr>
        <w:t>底较高一侧，垂直于坡面分两层摆放成“品”字形，粗的放底层，段木“削皮留筋”部位靠紧，周围用土固定。每窖放料15kg-20kg。</w:t>
      </w:r>
    </w:p>
    <w:p>
      <w:pPr>
        <w:spacing w:line="460" w:lineRule="exact"/>
        <w:ind w:firstLine="420"/>
        <w:rPr>
          <w:color w:val="000000"/>
          <w:szCs w:val="21"/>
        </w:rPr>
      </w:pPr>
      <w:r>
        <w:rPr>
          <w:rFonts w:hint="eastAsia"/>
          <w:color w:val="000000"/>
          <w:szCs w:val="21"/>
        </w:rPr>
        <w:t>6.2.2.3 接种</w:t>
      </w:r>
    </w:p>
    <w:p>
      <w:pPr>
        <w:spacing w:line="460" w:lineRule="exact"/>
        <w:ind w:firstLine="420"/>
        <w:rPr>
          <w:rFonts w:hint="eastAsia"/>
          <w:color w:val="000000"/>
          <w:szCs w:val="21"/>
        </w:rPr>
      </w:pPr>
      <w:r>
        <w:rPr>
          <w:rFonts w:hint="eastAsia"/>
          <w:color w:val="000000"/>
          <w:szCs w:val="21"/>
        </w:rPr>
        <w:t>用灭菌</w:t>
      </w:r>
      <w:r>
        <w:rPr>
          <w:rFonts w:hint="eastAsia"/>
          <w:color w:val="000000"/>
          <w:szCs w:val="21"/>
          <w:lang w:eastAsia="zh-CN"/>
        </w:rPr>
        <w:t>后</w:t>
      </w:r>
      <w:r>
        <w:rPr>
          <w:rFonts w:hint="eastAsia"/>
          <w:color w:val="000000"/>
          <w:szCs w:val="21"/>
        </w:rPr>
        <w:t>的美工刀横着从中间切断菌种（不揭去菌种袋），将暴露部分菌种紧紧</w:t>
      </w:r>
      <w:r>
        <w:rPr>
          <w:rFonts w:hint="eastAsia"/>
          <w:color w:val="000000"/>
          <w:szCs w:val="21"/>
          <w:lang w:eastAsia="zh-CN"/>
        </w:rPr>
        <w:t>贴</w:t>
      </w:r>
      <w:r>
        <w:rPr>
          <w:rFonts w:hint="eastAsia"/>
          <w:color w:val="000000"/>
          <w:szCs w:val="21"/>
        </w:rPr>
        <w:t>放在培养料的新</w:t>
      </w:r>
      <w:r>
        <w:rPr>
          <w:rFonts w:hint="eastAsia"/>
          <w:color w:val="000000"/>
          <w:szCs w:val="21"/>
          <w:lang w:eastAsia="zh-CN"/>
        </w:rPr>
        <w:t>截面</w:t>
      </w:r>
      <w:r>
        <w:rPr>
          <w:rFonts w:hint="eastAsia"/>
          <w:color w:val="000000"/>
          <w:szCs w:val="21"/>
        </w:rPr>
        <w:t>，一</w:t>
      </w:r>
      <w:r>
        <w:rPr>
          <w:rFonts w:hint="eastAsia"/>
          <w:color w:val="000000"/>
          <w:szCs w:val="21"/>
          <w:lang w:eastAsia="zh-CN"/>
        </w:rPr>
        <w:t>种植槽</w:t>
      </w:r>
      <w:r>
        <w:rPr>
          <w:rFonts w:hint="eastAsia"/>
          <w:color w:val="000000"/>
          <w:szCs w:val="21"/>
        </w:rPr>
        <w:t>接菌种2袋或3袋（按400g/袋核算），菌种</w:t>
      </w:r>
      <w:r>
        <w:rPr>
          <w:rFonts w:hint="eastAsia"/>
          <w:color w:val="000000"/>
          <w:szCs w:val="21"/>
          <w:lang w:eastAsia="zh-CN"/>
        </w:rPr>
        <w:t>贴</w:t>
      </w:r>
      <w:r>
        <w:rPr>
          <w:rFonts w:hint="eastAsia"/>
          <w:color w:val="000000"/>
          <w:szCs w:val="21"/>
        </w:rPr>
        <w:t>放好后用可降解塑料薄膜包裹接种端，包裹长度为遮盖接种端段木</w:t>
      </w:r>
      <w:r>
        <w:rPr>
          <w:rFonts w:hint="eastAsia"/>
          <w:color w:val="000000"/>
          <w:szCs w:val="21"/>
          <w:lang w:val="en-US" w:eastAsia="zh-CN"/>
        </w:rPr>
        <w:t>10</w:t>
      </w:r>
      <w:r>
        <w:rPr>
          <w:rFonts w:hint="eastAsia"/>
          <w:color w:val="000000"/>
          <w:szCs w:val="21"/>
        </w:rPr>
        <w:t>cm。</w:t>
      </w:r>
    </w:p>
    <w:p>
      <w:pPr>
        <w:spacing w:line="460" w:lineRule="exact"/>
        <w:ind w:firstLine="420"/>
        <w:rPr>
          <w:color w:val="000000"/>
          <w:szCs w:val="21"/>
        </w:rPr>
      </w:pPr>
      <w:r>
        <w:rPr>
          <w:rFonts w:hint="eastAsia"/>
          <w:color w:val="000000"/>
          <w:szCs w:val="21"/>
        </w:rPr>
        <w:t>6.2.2.4 覆土开沟</w:t>
      </w:r>
    </w:p>
    <w:p>
      <w:pPr>
        <w:spacing w:line="460" w:lineRule="exact"/>
        <w:ind w:firstLine="420"/>
        <w:rPr>
          <w:rFonts w:hint="eastAsia" w:eastAsia="宋体"/>
          <w:color w:val="000000"/>
          <w:szCs w:val="21"/>
          <w:lang w:eastAsia="zh-CN"/>
        </w:rPr>
      </w:pPr>
      <w:r>
        <w:rPr>
          <w:rFonts w:hint="eastAsia"/>
          <w:color w:val="000000"/>
          <w:szCs w:val="21"/>
        </w:rPr>
        <w:t>接种后立即覆土，覆土</w:t>
      </w:r>
      <w:r>
        <w:rPr>
          <w:rFonts w:hint="eastAsia"/>
          <w:color w:val="000000"/>
          <w:szCs w:val="21"/>
          <w:lang w:eastAsia="zh-CN"/>
        </w:rPr>
        <w:t>厚度不低于</w:t>
      </w:r>
      <w:r>
        <w:rPr>
          <w:rFonts w:hint="eastAsia"/>
          <w:color w:val="000000"/>
          <w:szCs w:val="21"/>
        </w:rPr>
        <w:t>15cm，呈龟背状。顺坡</w:t>
      </w:r>
      <w:r>
        <w:rPr>
          <w:rFonts w:hint="eastAsia"/>
          <w:color w:val="000000"/>
          <w:szCs w:val="21"/>
          <w:lang w:eastAsia="zh-CN"/>
        </w:rPr>
        <w:t>在</w:t>
      </w:r>
      <w:r>
        <w:rPr>
          <w:rFonts w:hint="eastAsia"/>
          <w:color w:val="000000"/>
          <w:szCs w:val="21"/>
        </w:rPr>
        <w:t>种植槽两侧开挖排水沟，沟深为低于</w:t>
      </w:r>
      <w:r>
        <w:rPr>
          <w:rFonts w:hint="eastAsia"/>
          <w:color w:val="000000"/>
          <w:szCs w:val="21"/>
          <w:lang w:eastAsia="zh-CN"/>
        </w:rPr>
        <w:t>种植槽</w:t>
      </w:r>
      <w:r>
        <w:rPr>
          <w:rFonts w:hint="eastAsia"/>
          <w:color w:val="000000"/>
          <w:szCs w:val="21"/>
        </w:rPr>
        <w:t>底10cm-20cm</w:t>
      </w:r>
      <w:r>
        <w:rPr>
          <w:rFonts w:hint="eastAsia"/>
          <w:color w:val="000000"/>
          <w:szCs w:val="21"/>
          <w:lang w:eastAsia="zh-CN"/>
        </w:rPr>
        <w:t>。</w:t>
      </w:r>
    </w:p>
    <w:p>
      <w:pPr>
        <w:spacing w:line="460" w:lineRule="exact"/>
        <w:rPr>
          <w:rFonts w:hint="eastAsia" w:ascii="黑体" w:eastAsia="黑体"/>
          <w:color w:val="000000"/>
          <w:kern w:val="0"/>
          <w:szCs w:val="20"/>
        </w:rPr>
      </w:pPr>
      <w:r>
        <w:rPr>
          <w:rFonts w:hint="eastAsia" w:ascii="黑体" w:eastAsia="黑体"/>
          <w:color w:val="000000"/>
          <w:kern w:val="0"/>
          <w:szCs w:val="20"/>
        </w:rPr>
        <w:t>7  种植管理</w:t>
      </w:r>
    </w:p>
    <w:p>
      <w:pPr>
        <w:spacing w:line="460" w:lineRule="exact"/>
        <w:ind w:firstLine="420"/>
        <w:rPr>
          <w:rFonts w:hint="eastAsia" w:eastAsia="宋体"/>
          <w:szCs w:val="21"/>
          <w:lang w:eastAsia="zh-CN"/>
        </w:rPr>
      </w:pPr>
      <w:r>
        <w:rPr>
          <w:rFonts w:hint="eastAsia"/>
          <w:szCs w:val="21"/>
        </w:rPr>
        <w:t xml:space="preserve">7.1 </w:t>
      </w:r>
      <w:r>
        <w:rPr>
          <w:rFonts w:hint="eastAsia"/>
          <w:szCs w:val="21"/>
          <w:lang w:eastAsia="zh-CN"/>
        </w:rPr>
        <w:t>补种</w:t>
      </w:r>
    </w:p>
    <w:p>
      <w:pPr>
        <w:spacing w:line="460" w:lineRule="exact"/>
        <w:ind w:firstLine="420"/>
        <w:rPr>
          <w:rFonts w:hint="eastAsia"/>
          <w:szCs w:val="21"/>
        </w:rPr>
      </w:pPr>
      <w:r>
        <w:rPr>
          <w:rFonts w:hint="eastAsia"/>
          <w:szCs w:val="21"/>
        </w:rPr>
        <w:t>接种后</w:t>
      </w:r>
      <w:r>
        <w:rPr>
          <w:rFonts w:hint="eastAsia"/>
          <w:szCs w:val="21"/>
          <w:lang w:val="en-US" w:eastAsia="zh-CN"/>
        </w:rPr>
        <w:t>3</w:t>
      </w:r>
      <w:r>
        <w:rPr>
          <w:rFonts w:hint="eastAsia"/>
          <w:szCs w:val="21"/>
        </w:rPr>
        <w:t>d-</w:t>
      </w:r>
      <w:r>
        <w:rPr>
          <w:rFonts w:hint="eastAsia"/>
          <w:szCs w:val="21"/>
          <w:lang w:val="en-US" w:eastAsia="zh-CN"/>
        </w:rPr>
        <w:t>7</w:t>
      </w:r>
      <w:r>
        <w:rPr>
          <w:rFonts w:hint="eastAsia"/>
          <w:szCs w:val="21"/>
        </w:rPr>
        <w:t>d随机抽查各</w:t>
      </w:r>
      <w:r>
        <w:rPr>
          <w:rFonts w:hint="eastAsia"/>
          <w:szCs w:val="21"/>
          <w:lang w:eastAsia="zh-CN"/>
        </w:rPr>
        <w:t>种植槽</w:t>
      </w:r>
      <w:r>
        <w:rPr>
          <w:rFonts w:hint="eastAsia"/>
          <w:szCs w:val="21"/>
        </w:rPr>
        <w:t>菌种上引情况，若发现死菌和不上引的</w:t>
      </w:r>
      <w:r>
        <w:rPr>
          <w:rFonts w:hint="eastAsia"/>
          <w:szCs w:val="21"/>
          <w:lang w:eastAsia="zh-CN"/>
        </w:rPr>
        <w:t>种植槽</w:t>
      </w:r>
      <w:r>
        <w:rPr>
          <w:rFonts w:hint="eastAsia"/>
          <w:szCs w:val="21"/>
        </w:rPr>
        <w:t>，间隔</w:t>
      </w:r>
      <w:r>
        <w:rPr>
          <w:rFonts w:hint="eastAsia"/>
          <w:szCs w:val="21"/>
          <w:lang w:val="en-US" w:eastAsia="zh-CN"/>
        </w:rPr>
        <w:t>7</w:t>
      </w:r>
      <w:r>
        <w:rPr>
          <w:rFonts w:hint="eastAsia"/>
          <w:szCs w:val="21"/>
        </w:rPr>
        <w:t>d再检查一次，再次检查仍然不见茯苓菌丝，则及时</w:t>
      </w:r>
      <w:r>
        <w:rPr>
          <w:rFonts w:hint="eastAsia"/>
          <w:szCs w:val="21"/>
          <w:lang w:eastAsia="zh-CN"/>
        </w:rPr>
        <w:t>换种</w:t>
      </w:r>
      <w:r>
        <w:rPr>
          <w:rFonts w:hint="eastAsia"/>
          <w:szCs w:val="21"/>
        </w:rPr>
        <w:t>补种。</w:t>
      </w:r>
    </w:p>
    <w:p>
      <w:pPr>
        <w:spacing w:line="460" w:lineRule="exact"/>
        <w:ind w:firstLine="420"/>
        <w:rPr>
          <w:rFonts w:hint="eastAsia"/>
          <w:szCs w:val="21"/>
        </w:rPr>
      </w:pPr>
      <w:r>
        <w:rPr>
          <w:rFonts w:hint="eastAsia"/>
          <w:szCs w:val="21"/>
        </w:rPr>
        <w:t>7.2 排水</w:t>
      </w:r>
    </w:p>
    <w:p>
      <w:pPr>
        <w:spacing w:line="460" w:lineRule="exact"/>
        <w:ind w:firstLine="420"/>
        <w:rPr>
          <w:rFonts w:hint="eastAsia"/>
          <w:szCs w:val="21"/>
        </w:rPr>
      </w:pPr>
      <w:r>
        <w:rPr>
          <w:rFonts w:hint="eastAsia"/>
          <w:szCs w:val="21"/>
        </w:rPr>
        <w:t>随时检查清挖排水沟， 6月</w:t>
      </w:r>
      <w:r>
        <w:rPr>
          <w:rFonts w:hint="eastAsia"/>
          <w:szCs w:val="21"/>
          <w:lang w:eastAsia="zh-CN"/>
        </w:rPr>
        <w:t>下旬</w:t>
      </w:r>
      <w:r>
        <w:rPr>
          <w:rFonts w:hint="eastAsia"/>
          <w:szCs w:val="21"/>
        </w:rPr>
        <w:t>至</w:t>
      </w:r>
      <w:r>
        <w:rPr>
          <w:rFonts w:hint="eastAsia"/>
          <w:szCs w:val="21"/>
          <w:lang w:val="en-US" w:eastAsia="zh-CN"/>
        </w:rPr>
        <w:t>9</w:t>
      </w:r>
      <w:r>
        <w:rPr>
          <w:rFonts w:hint="eastAsia"/>
          <w:szCs w:val="21"/>
        </w:rPr>
        <w:t>月</w:t>
      </w:r>
      <w:r>
        <w:rPr>
          <w:rFonts w:hint="eastAsia"/>
          <w:szCs w:val="21"/>
          <w:lang w:eastAsia="zh-CN"/>
        </w:rPr>
        <w:t>下旬</w:t>
      </w:r>
      <w:r>
        <w:rPr>
          <w:rFonts w:hint="eastAsia"/>
          <w:szCs w:val="21"/>
        </w:rPr>
        <w:t>主汛期间要每天查看，保持苓场</w:t>
      </w:r>
      <w:r>
        <w:rPr>
          <w:rFonts w:hint="eastAsia"/>
          <w:szCs w:val="21"/>
          <w:lang w:eastAsia="zh-CN"/>
        </w:rPr>
        <w:t>排水通畅</w:t>
      </w:r>
      <w:r>
        <w:rPr>
          <w:rFonts w:hint="eastAsia"/>
          <w:szCs w:val="21"/>
        </w:rPr>
        <w:t>，防止积水。</w:t>
      </w:r>
    </w:p>
    <w:p>
      <w:pPr>
        <w:spacing w:line="460" w:lineRule="exact"/>
        <w:ind w:firstLine="420"/>
        <w:rPr>
          <w:rFonts w:hint="eastAsia" w:eastAsia="宋体"/>
          <w:szCs w:val="21"/>
          <w:lang w:val="en-US" w:eastAsia="zh-CN"/>
        </w:rPr>
      </w:pPr>
      <w:r>
        <w:rPr>
          <w:rFonts w:hint="eastAsia"/>
          <w:szCs w:val="21"/>
        </w:rPr>
        <w:t xml:space="preserve">7.3 </w:t>
      </w:r>
      <w:r>
        <w:rPr>
          <w:rFonts w:hint="eastAsia"/>
          <w:szCs w:val="21"/>
          <w:lang w:eastAsia="zh-CN"/>
        </w:rPr>
        <w:t>培土</w:t>
      </w:r>
    </w:p>
    <w:p>
      <w:pPr>
        <w:spacing w:line="460" w:lineRule="exact"/>
        <w:ind w:firstLine="420"/>
        <w:rPr>
          <w:rFonts w:hint="eastAsia"/>
          <w:szCs w:val="21"/>
        </w:rPr>
      </w:pPr>
      <w:r>
        <w:rPr>
          <w:rFonts w:hint="eastAsia"/>
          <w:szCs w:val="21"/>
        </w:rPr>
        <w:t>随时检查苓场，对露出地面的段木和龟裂土壤及时</w:t>
      </w:r>
      <w:r>
        <w:rPr>
          <w:rFonts w:hint="eastAsia"/>
          <w:szCs w:val="21"/>
          <w:lang w:eastAsia="zh-CN"/>
        </w:rPr>
        <w:t>培</w:t>
      </w:r>
      <w:r>
        <w:rPr>
          <w:rFonts w:hint="eastAsia"/>
          <w:szCs w:val="21"/>
        </w:rPr>
        <w:t>土。</w:t>
      </w:r>
    </w:p>
    <w:p>
      <w:pPr>
        <w:spacing w:line="460" w:lineRule="exact"/>
        <w:ind w:firstLine="420"/>
        <w:rPr>
          <w:rFonts w:hint="eastAsia"/>
          <w:szCs w:val="21"/>
        </w:rPr>
      </w:pPr>
      <w:r>
        <w:rPr>
          <w:rFonts w:hint="eastAsia"/>
          <w:szCs w:val="21"/>
        </w:rPr>
        <w:t>7.4 除草</w:t>
      </w:r>
    </w:p>
    <w:p>
      <w:pPr>
        <w:spacing w:line="460" w:lineRule="exact"/>
        <w:ind w:firstLine="420"/>
        <w:rPr>
          <w:rFonts w:hint="eastAsia"/>
          <w:szCs w:val="21"/>
        </w:rPr>
      </w:pPr>
      <w:r>
        <w:rPr>
          <w:rFonts w:hint="eastAsia"/>
          <w:szCs w:val="21"/>
        </w:rPr>
        <w:t>及时人工除去种植场地内的杂草。</w:t>
      </w:r>
    </w:p>
    <w:p>
      <w:pPr>
        <w:spacing w:line="460" w:lineRule="exact"/>
        <w:ind w:firstLine="420"/>
        <w:rPr>
          <w:rFonts w:hint="eastAsia"/>
          <w:szCs w:val="21"/>
        </w:rPr>
      </w:pPr>
      <w:r>
        <w:rPr>
          <w:rFonts w:hint="eastAsia"/>
          <w:szCs w:val="21"/>
        </w:rPr>
        <w:t>7.5 病虫害防治</w:t>
      </w:r>
    </w:p>
    <w:p>
      <w:pPr>
        <w:spacing w:line="460" w:lineRule="exact"/>
        <w:ind w:firstLine="420" w:firstLineChars="200"/>
        <w:jc w:val="left"/>
        <w:rPr>
          <w:rFonts w:hint="eastAsia"/>
        </w:rPr>
      </w:pPr>
      <w:r>
        <w:rPr>
          <w:rFonts w:hint="eastAsia"/>
          <w:szCs w:val="21"/>
        </w:rPr>
        <w:t>提倡采用农业、物理和生物方法防治病虫害，禁止使用高毒、高残留农药。化学防治需</w:t>
      </w:r>
      <w:r>
        <w:rPr>
          <w:rFonts w:hint="eastAsia" w:ascii="宋体" w:hAnsi="宋体"/>
          <w:color w:val="000000"/>
          <w:szCs w:val="21"/>
        </w:rPr>
        <w:t>符合</w:t>
      </w:r>
      <w:r>
        <w:rPr>
          <w:rFonts w:ascii="宋体" w:hAnsi="宋体"/>
          <w:color w:val="000000"/>
          <w:szCs w:val="21"/>
        </w:rPr>
        <w:t>GB/T 8321</w:t>
      </w:r>
      <w:r>
        <w:rPr>
          <w:rFonts w:hint="eastAsia" w:ascii="宋体" w:hAnsi="宋体"/>
          <w:color w:val="000000"/>
          <w:szCs w:val="21"/>
        </w:rPr>
        <w:t>要求。</w:t>
      </w:r>
      <w:r>
        <w:rPr>
          <w:rFonts w:hint="eastAsia"/>
        </w:rPr>
        <w:t>具体</w:t>
      </w:r>
      <w:r>
        <w:rPr>
          <w:rFonts w:hint="eastAsia" w:ascii="宋体" w:hAnsi="宋体"/>
          <w:color w:val="000000"/>
          <w:szCs w:val="21"/>
        </w:rPr>
        <w:t>防治方法见附录A。</w:t>
      </w:r>
    </w:p>
    <w:p>
      <w:pPr>
        <w:pStyle w:val="21"/>
        <w:spacing w:line="460" w:lineRule="exact"/>
        <w:ind w:firstLine="0" w:firstLineChars="0"/>
        <w:rPr>
          <w:rFonts w:hint="eastAsia" w:ascii="黑体" w:eastAsia="黑体"/>
        </w:rPr>
      </w:pPr>
      <w:r>
        <w:rPr>
          <w:rFonts w:hint="eastAsia" w:ascii="黑体" w:eastAsia="黑体"/>
        </w:rPr>
        <w:t>8  采收</w:t>
      </w:r>
    </w:p>
    <w:p>
      <w:pPr>
        <w:spacing w:line="460" w:lineRule="exact"/>
        <w:ind w:firstLine="420"/>
        <w:rPr>
          <w:rFonts w:hint="eastAsia"/>
          <w:szCs w:val="21"/>
        </w:rPr>
      </w:pPr>
      <w:r>
        <w:rPr>
          <w:rFonts w:hint="eastAsia"/>
          <w:szCs w:val="21"/>
        </w:rPr>
        <w:t>8.</w:t>
      </w:r>
      <w:r>
        <w:rPr>
          <w:rFonts w:hint="eastAsia"/>
          <w:szCs w:val="21"/>
          <w:lang w:val="en-US" w:eastAsia="zh-CN"/>
        </w:rPr>
        <w:t xml:space="preserve">1 </w:t>
      </w:r>
      <w:r>
        <w:rPr>
          <w:rFonts w:hint="eastAsia"/>
          <w:szCs w:val="21"/>
        </w:rPr>
        <w:t>茯苓成熟标志</w:t>
      </w:r>
    </w:p>
    <w:p>
      <w:pPr>
        <w:spacing w:line="460" w:lineRule="exact"/>
        <w:ind w:firstLine="420"/>
        <w:rPr>
          <w:rFonts w:hint="eastAsia"/>
          <w:szCs w:val="21"/>
        </w:rPr>
      </w:pPr>
      <w:r>
        <w:rPr>
          <w:rFonts w:hint="eastAsia"/>
          <w:szCs w:val="21"/>
        </w:rPr>
        <w:t>一般在下窖后当年11</w:t>
      </w:r>
      <w:r>
        <w:rPr>
          <w:rFonts w:hint="eastAsia"/>
          <w:szCs w:val="21"/>
          <w:lang w:eastAsia="zh-CN"/>
        </w:rPr>
        <w:t>月</w:t>
      </w:r>
      <w:r>
        <w:rPr>
          <w:rFonts w:hint="eastAsia"/>
          <w:szCs w:val="21"/>
        </w:rPr>
        <w:t>-12月，苓场不再出现新的龟裂纹；培养料由淡黄色变为黄褐色，材质</w:t>
      </w:r>
      <w:r>
        <w:rPr>
          <w:rFonts w:hint="eastAsia"/>
          <w:szCs w:val="21"/>
          <w:lang w:eastAsia="zh-CN"/>
        </w:rPr>
        <w:t>呈</w:t>
      </w:r>
      <w:r>
        <w:rPr>
          <w:rFonts w:hint="eastAsia"/>
          <w:szCs w:val="21"/>
        </w:rPr>
        <w:t>腐朽状；茯苓菌核外皮颜色变深，由淡棕色变为褐色。</w:t>
      </w:r>
    </w:p>
    <w:p>
      <w:pPr>
        <w:spacing w:line="460" w:lineRule="exact"/>
        <w:ind w:firstLine="420"/>
        <w:rPr>
          <w:rFonts w:hint="eastAsia"/>
          <w:szCs w:val="21"/>
        </w:rPr>
      </w:pPr>
      <w:r>
        <w:rPr>
          <w:rFonts w:hint="eastAsia"/>
          <w:szCs w:val="21"/>
        </w:rPr>
        <w:t>8.</w:t>
      </w:r>
      <w:r>
        <w:rPr>
          <w:rFonts w:hint="eastAsia"/>
          <w:szCs w:val="21"/>
          <w:lang w:val="en-US" w:eastAsia="zh-CN"/>
        </w:rPr>
        <w:t>2</w:t>
      </w:r>
      <w:r>
        <w:rPr>
          <w:rFonts w:hint="eastAsia"/>
          <w:szCs w:val="21"/>
        </w:rPr>
        <w:t xml:space="preserve"> 采收时间</w:t>
      </w:r>
    </w:p>
    <w:p>
      <w:pPr>
        <w:spacing w:line="460" w:lineRule="exact"/>
        <w:ind w:firstLine="420"/>
        <w:rPr>
          <w:rFonts w:hint="eastAsia"/>
          <w:szCs w:val="21"/>
        </w:rPr>
      </w:pPr>
      <w:r>
        <w:rPr>
          <w:rFonts w:hint="eastAsia"/>
          <w:szCs w:val="21"/>
        </w:rPr>
        <w:t>1</w:t>
      </w:r>
      <w:r>
        <w:rPr>
          <w:rFonts w:hint="eastAsia"/>
          <w:szCs w:val="21"/>
          <w:lang w:val="en-US" w:eastAsia="zh-CN"/>
        </w:rPr>
        <w:t>1</w:t>
      </w:r>
      <w:r>
        <w:rPr>
          <w:rFonts w:hint="eastAsia"/>
          <w:szCs w:val="21"/>
        </w:rPr>
        <w:t>月</w:t>
      </w:r>
      <w:r>
        <w:rPr>
          <w:rFonts w:hint="eastAsia"/>
          <w:szCs w:val="21"/>
          <w:lang w:val="en-US" w:eastAsia="zh-CN"/>
        </w:rPr>
        <w:t>-</w:t>
      </w:r>
      <w:r>
        <w:rPr>
          <w:rFonts w:hint="eastAsia"/>
          <w:szCs w:val="21"/>
        </w:rPr>
        <w:t>12月的晴天或阴天采收。</w:t>
      </w:r>
    </w:p>
    <w:p>
      <w:pPr>
        <w:spacing w:line="460" w:lineRule="exact"/>
        <w:ind w:firstLine="420"/>
        <w:rPr>
          <w:rFonts w:hint="eastAsia"/>
          <w:szCs w:val="21"/>
        </w:rPr>
      </w:pPr>
      <w:r>
        <w:rPr>
          <w:rFonts w:hint="eastAsia"/>
          <w:szCs w:val="21"/>
        </w:rPr>
        <w:t>8.</w:t>
      </w:r>
      <w:r>
        <w:rPr>
          <w:rFonts w:hint="eastAsia"/>
          <w:szCs w:val="21"/>
          <w:lang w:val="en-US" w:eastAsia="zh-CN"/>
        </w:rPr>
        <w:t>3</w:t>
      </w:r>
      <w:r>
        <w:rPr>
          <w:rFonts w:hint="eastAsia"/>
          <w:szCs w:val="21"/>
        </w:rPr>
        <w:t xml:space="preserve"> 采收方法</w:t>
      </w:r>
    </w:p>
    <w:p>
      <w:pPr>
        <w:spacing w:line="460" w:lineRule="exact"/>
        <w:ind w:firstLine="420"/>
        <w:rPr>
          <w:rFonts w:hint="eastAsia"/>
          <w:szCs w:val="21"/>
        </w:rPr>
      </w:pPr>
      <w:r>
        <w:rPr>
          <w:rFonts w:hint="eastAsia"/>
          <w:szCs w:val="21"/>
        </w:rPr>
        <w:t>挖开窖面土壤，敲段木使菌核松脱，取出，注意勿漏取茯苓、勿挖伤茯苓。</w:t>
      </w:r>
    </w:p>
    <w:p>
      <w:pPr>
        <w:pStyle w:val="21"/>
        <w:spacing w:line="460" w:lineRule="exact"/>
        <w:ind w:firstLine="0" w:firstLineChars="0"/>
        <w:rPr>
          <w:rFonts w:hint="eastAsia" w:ascii="黑体" w:eastAsia="黑体"/>
        </w:rPr>
      </w:pPr>
      <w:r>
        <w:rPr>
          <w:rFonts w:hint="eastAsia" w:ascii="黑体" w:eastAsia="黑体"/>
        </w:rPr>
        <w:t>9  苓场清理</w:t>
      </w:r>
    </w:p>
    <w:p>
      <w:pPr>
        <w:pStyle w:val="21"/>
        <w:spacing w:line="460" w:lineRule="exact"/>
        <w:rPr>
          <w:rFonts w:hint="eastAsia" w:ascii="Times New Roman"/>
          <w:kern w:val="2"/>
          <w:szCs w:val="21"/>
        </w:rPr>
      </w:pPr>
      <w:r>
        <w:rPr>
          <w:rFonts w:hint="eastAsia" w:ascii="Times New Roman"/>
          <w:kern w:val="2"/>
          <w:szCs w:val="21"/>
        </w:rPr>
        <w:t>采收的茯苓及时送往加工厂，栽培后的培养料废料</w:t>
      </w:r>
      <w:r>
        <w:rPr>
          <w:rFonts w:hint="eastAsia" w:ascii="Times New Roman"/>
          <w:kern w:val="2"/>
          <w:szCs w:val="21"/>
          <w:lang w:eastAsia="zh-CN"/>
        </w:rPr>
        <w:t>就地回填，菌袋等废弃物</w:t>
      </w:r>
      <w:r>
        <w:rPr>
          <w:rFonts w:hint="eastAsia" w:ascii="Times New Roman"/>
          <w:kern w:val="2"/>
          <w:szCs w:val="21"/>
        </w:rPr>
        <w:t>搬离苓场。</w:t>
      </w:r>
    </w:p>
    <w:p>
      <w:pPr>
        <w:spacing w:line="460" w:lineRule="exact"/>
        <w:rPr>
          <w:rFonts w:hint="eastAsia"/>
          <w:szCs w:val="21"/>
        </w:rPr>
      </w:pPr>
    </w:p>
    <w:p>
      <w:pPr>
        <w:spacing w:line="460" w:lineRule="exact"/>
        <w:jc w:val="center"/>
        <w:rPr>
          <w:rFonts w:hint="eastAsia" w:ascii="黑体" w:hAnsi="黑体" w:eastAsia="黑体"/>
          <w:bCs/>
          <w:szCs w:val="21"/>
        </w:rPr>
      </w:pPr>
      <w:r>
        <w:rPr>
          <w:rFonts w:hint="eastAsia" w:ascii="黑体" w:hAnsi="黑体" w:eastAsia="黑体"/>
          <w:bCs/>
          <w:szCs w:val="21"/>
        </w:rPr>
        <w:t>附  录A</w:t>
      </w:r>
    </w:p>
    <w:p>
      <w:pPr>
        <w:jc w:val="center"/>
        <w:rPr>
          <w:rFonts w:ascii="黑体" w:hAnsi="黑体" w:eastAsia="黑体"/>
        </w:rPr>
      </w:pPr>
      <w:r>
        <w:rPr>
          <w:rFonts w:hint="eastAsia" w:ascii="黑体" w:hAnsi="黑体" w:eastAsia="黑体"/>
        </w:rPr>
        <w:t>（资料性附录）</w:t>
      </w:r>
    </w:p>
    <w:p>
      <w:pPr>
        <w:jc w:val="center"/>
        <w:rPr>
          <w:rFonts w:hint="eastAsia" w:ascii="黑体" w:hAnsi="黑体" w:eastAsia="黑体"/>
        </w:rPr>
      </w:pPr>
      <w:r>
        <w:rPr>
          <w:rFonts w:hint="eastAsia" w:ascii="黑体" w:hAnsi="黑体" w:eastAsia="黑体"/>
        </w:rPr>
        <w:t>林下茯苓种植主要病虫害及防治方法</w:t>
      </w:r>
    </w:p>
    <w:tbl>
      <w:tblPr>
        <w:tblStyle w:val="2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5"/>
        <w:gridCol w:w="3685"/>
        <w:gridCol w:w="450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5" w:type="dxa"/>
            <w:noWrap w:val="0"/>
            <w:vAlign w:val="top"/>
          </w:tcPr>
          <w:p>
            <w:pPr>
              <w:spacing w:line="460" w:lineRule="exact"/>
              <w:jc w:val="center"/>
              <w:rPr>
                <w:rFonts w:ascii="宋体"/>
                <w:b/>
                <w:bCs/>
                <w:sz w:val="18"/>
                <w:szCs w:val="21"/>
              </w:rPr>
            </w:pPr>
            <w:r>
              <w:rPr>
                <w:rFonts w:hint="eastAsia" w:ascii="宋体"/>
                <w:b/>
                <w:bCs/>
                <w:sz w:val="18"/>
                <w:szCs w:val="21"/>
              </w:rPr>
              <w:t>病虫害名称</w:t>
            </w:r>
          </w:p>
        </w:tc>
        <w:tc>
          <w:tcPr>
            <w:tcW w:w="3685" w:type="dxa"/>
            <w:noWrap w:val="0"/>
            <w:vAlign w:val="top"/>
          </w:tcPr>
          <w:p>
            <w:pPr>
              <w:spacing w:before="218" w:beforeLines="70" w:line="460" w:lineRule="exact"/>
              <w:jc w:val="center"/>
              <w:rPr>
                <w:rFonts w:ascii="宋体"/>
                <w:b/>
                <w:bCs/>
                <w:sz w:val="18"/>
                <w:szCs w:val="21"/>
              </w:rPr>
            </w:pPr>
            <w:r>
              <w:rPr>
                <w:rFonts w:hint="eastAsia" w:ascii="宋体"/>
                <w:b/>
                <w:bCs/>
                <w:sz w:val="18"/>
                <w:szCs w:val="21"/>
              </w:rPr>
              <w:t>危害部位</w:t>
            </w:r>
          </w:p>
        </w:tc>
        <w:tc>
          <w:tcPr>
            <w:tcW w:w="4504" w:type="dxa"/>
            <w:noWrap w:val="0"/>
            <w:vAlign w:val="top"/>
          </w:tcPr>
          <w:p>
            <w:pPr>
              <w:spacing w:before="218" w:beforeLines="70" w:line="460" w:lineRule="exact"/>
              <w:jc w:val="center"/>
              <w:rPr>
                <w:rFonts w:ascii="宋体"/>
                <w:b/>
                <w:bCs/>
                <w:sz w:val="18"/>
                <w:szCs w:val="21"/>
              </w:rPr>
            </w:pPr>
            <w:r>
              <w:rPr>
                <w:rFonts w:hint="eastAsia" w:ascii="宋体"/>
                <w:b/>
                <w:bCs/>
                <w:sz w:val="18"/>
                <w:szCs w:val="21"/>
              </w:rPr>
              <w:t>防治方法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9" w:hRule="atLeast"/>
          <w:jc w:val="center"/>
        </w:trPr>
        <w:tc>
          <w:tcPr>
            <w:tcW w:w="825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宋体"/>
                <w:sz w:val="18"/>
                <w:szCs w:val="21"/>
              </w:rPr>
            </w:pPr>
            <w:r>
              <w:rPr>
                <w:rFonts w:hint="eastAsia" w:ascii="宋体"/>
                <w:sz w:val="18"/>
                <w:szCs w:val="21"/>
              </w:rPr>
              <w:t>杂菌</w:t>
            </w:r>
          </w:p>
        </w:tc>
        <w:tc>
          <w:tcPr>
            <w:tcW w:w="3685" w:type="dxa"/>
            <w:noWrap w:val="0"/>
            <w:vAlign w:val="top"/>
          </w:tcPr>
          <w:p>
            <w:pPr>
              <w:spacing w:line="440" w:lineRule="exact"/>
              <w:rPr>
                <w:rFonts w:ascii="宋体"/>
                <w:sz w:val="18"/>
                <w:szCs w:val="21"/>
              </w:rPr>
            </w:pPr>
            <w:r>
              <w:rPr>
                <w:rFonts w:hint="eastAsia" w:ascii="宋体"/>
                <w:sz w:val="18"/>
                <w:szCs w:val="21"/>
              </w:rPr>
              <w:t>木霉、根霉、曲霉、毛霉和青霉等杂菌危害培养料、茯苓菌丝体和菌核。</w:t>
            </w:r>
          </w:p>
        </w:tc>
        <w:tc>
          <w:tcPr>
            <w:tcW w:w="4504" w:type="dxa"/>
            <w:noWrap w:val="0"/>
            <w:vAlign w:val="top"/>
          </w:tcPr>
          <w:p>
            <w:pPr>
              <w:spacing w:line="440" w:lineRule="exact"/>
              <w:rPr>
                <w:rFonts w:hint="eastAsia" w:ascii="宋体"/>
                <w:sz w:val="18"/>
                <w:szCs w:val="21"/>
              </w:rPr>
            </w:pPr>
            <w:r>
              <w:rPr>
                <w:rFonts w:hint="eastAsia" w:ascii="宋体"/>
                <w:sz w:val="18"/>
                <w:szCs w:val="21"/>
              </w:rPr>
              <w:t>1.严格菌种选择，禁用带有杂菌的菌种；</w:t>
            </w:r>
          </w:p>
          <w:p>
            <w:pPr>
              <w:spacing w:line="440" w:lineRule="exact"/>
              <w:rPr>
                <w:rFonts w:hint="eastAsia" w:ascii="宋体"/>
                <w:sz w:val="18"/>
                <w:szCs w:val="21"/>
              </w:rPr>
            </w:pPr>
            <w:r>
              <w:rPr>
                <w:rFonts w:hint="eastAsia" w:ascii="宋体"/>
                <w:sz w:val="18"/>
                <w:szCs w:val="21"/>
              </w:rPr>
              <w:t>2.使用不带杂菌的新鲜培养料；</w:t>
            </w:r>
          </w:p>
          <w:p>
            <w:pPr>
              <w:spacing w:line="440" w:lineRule="exact"/>
              <w:rPr>
                <w:rFonts w:hint="eastAsia" w:ascii="宋体"/>
                <w:sz w:val="18"/>
                <w:szCs w:val="21"/>
              </w:rPr>
            </w:pPr>
            <w:r>
              <w:rPr>
                <w:rFonts w:hint="eastAsia" w:ascii="宋体"/>
                <w:sz w:val="18"/>
                <w:szCs w:val="21"/>
              </w:rPr>
              <w:t>3.接种时，对接种工具、接种人员等做好消毒灭菌工作；</w:t>
            </w:r>
          </w:p>
          <w:p>
            <w:pPr>
              <w:spacing w:line="440" w:lineRule="exact"/>
              <w:rPr>
                <w:rFonts w:hint="eastAsia" w:ascii="宋体"/>
                <w:sz w:val="18"/>
                <w:szCs w:val="21"/>
              </w:rPr>
            </w:pPr>
            <w:r>
              <w:rPr>
                <w:rFonts w:hint="eastAsia" w:ascii="宋体"/>
                <w:sz w:val="18"/>
                <w:szCs w:val="21"/>
              </w:rPr>
              <w:t>4.防止苓场积水。</w:t>
            </w:r>
          </w:p>
          <w:p>
            <w:pPr>
              <w:spacing w:line="440" w:lineRule="exact"/>
              <w:rPr>
                <w:rFonts w:ascii="宋体"/>
                <w:sz w:val="18"/>
                <w:szCs w:val="21"/>
              </w:rPr>
            </w:pPr>
            <w:r>
              <w:rPr>
                <w:rFonts w:hint="eastAsia" w:ascii="宋体"/>
                <w:sz w:val="18"/>
                <w:szCs w:val="21"/>
              </w:rPr>
              <w:t>5.一旦发现杂菌，及时清除被杂菌污染的菌种、培养料和菌核等；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6" w:hRule="atLeast"/>
          <w:jc w:val="center"/>
        </w:trPr>
        <w:tc>
          <w:tcPr>
            <w:tcW w:w="825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宋体"/>
                <w:sz w:val="18"/>
                <w:szCs w:val="21"/>
              </w:rPr>
            </w:pPr>
            <w:r>
              <w:rPr>
                <w:rFonts w:hint="eastAsia" w:ascii="宋体"/>
                <w:sz w:val="18"/>
                <w:szCs w:val="21"/>
              </w:rPr>
              <w:t>白蚁</w:t>
            </w:r>
          </w:p>
        </w:tc>
        <w:tc>
          <w:tcPr>
            <w:tcW w:w="3685" w:type="dxa"/>
            <w:noWrap w:val="0"/>
            <w:vAlign w:val="top"/>
          </w:tcPr>
          <w:p>
            <w:pPr>
              <w:spacing w:line="440" w:lineRule="exact"/>
              <w:rPr>
                <w:rFonts w:hint="eastAsia" w:ascii="宋体"/>
                <w:sz w:val="18"/>
                <w:szCs w:val="21"/>
              </w:rPr>
            </w:pPr>
            <w:r>
              <w:rPr>
                <w:rFonts w:hint="eastAsia" w:ascii="宋体"/>
                <w:sz w:val="18"/>
                <w:szCs w:val="21"/>
              </w:rPr>
              <w:t>危害培养料。</w:t>
            </w:r>
          </w:p>
        </w:tc>
        <w:tc>
          <w:tcPr>
            <w:tcW w:w="4504" w:type="dxa"/>
            <w:noWrap w:val="0"/>
            <w:vAlign w:val="top"/>
          </w:tcPr>
          <w:p>
            <w:pPr>
              <w:spacing w:line="440" w:lineRule="exact"/>
              <w:rPr>
                <w:rFonts w:hint="eastAsia" w:ascii="宋体"/>
                <w:sz w:val="18"/>
                <w:szCs w:val="21"/>
              </w:rPr>
            </w:pPr>
            <w:r>
              <w:rPr>
                <w:rFonts w:hint="eastAsia" w:ascii="宋体"/>
                <w:sz w:val="18"/>
                <w:szCs w:val="21"/>
              </w:rPr>
              <w:t>1.严格苓场选择，选无白蚁滋生的林地；</w:t>
            </w:r>
          </w:p>
          <w:p>
            <w:pPr>
              <w:spacing w:line="440" w:lineRule="exact"/>
              <w:rPr>
                <w:rFonts w:hint="eastAsia" w:ascii="宋体"/>
                <w:sz w:val="18"/>
                <w:szCs w:val="21"/>
              </w:rPr>
            </w:pPr>
            <w:r>
              <w:rPr>
                <w:rFonts w:hint="eastAsia" w:ascii="宋体"/>
                <w:sz w:val="18"/>
                <w:szCs w:val="21"/>
              </w:rPr>
              <w:t>2.使用不带白蚁的新鲜培养料；</w:t>
            </w:r>
          </w:p>
          <w:p>
            <w:pPr>
              <w:spacing w:line="440" w:lineRule="exact"/>
              <w:rPr>
                <w:rFonts w:hint="eastAsia" w:ascii="宋体"/>
                <w:sz w:val="18"/>
                <w:szCs w:val="21"/>
              </w:rPr>
            </w:pPr>
            <w:r>
              <w:rPr>
                <w:rFonts w:hint="eastAsia" w:ascii="宋体"/>
                <w:sz w:val="18"/>
                <w:szCs w:val="21"/>
              </w:rPr>
              <w:t>3.苓场周围挖深沟，内撒白蚁驱避剂</w:t>
            </w:r>
            <w:r>
              <w:rPr>
                <w:rFonts w:hint="eastAsia" w:ascii="宋体"/>
                <w:sz w:val="18"/>
                <w:szCs w:val="21"/>
                <w:lang w:eastAsia="zh-CN"/>
              </w:rPr>
              <w:t>，如吡虫啉</w:t>
            </w:r>
            <w:r>
              <w:rPr>
                <w:rFonts w:hint="eastAsia" w:ascii="宋体"/>
                <w:sz w:val="18"/>
                <w:szCs w:val="21"/>
              </w:rPr>
              <w:t>；</w:t>
            </w:r>
          </w:p>
          <w:p>
            <w:pPr>
              <w:spacing w:line="440" w:lineRule="exact"/>
              <w:rPr>
                <w:rFonts w:hint="eastAsia" w:ascii="宋体"/>
                <w:sz w:val="18"/>
                <w:szCs w:val="21"/>
              </w:rPr>
            </w:pPr>
            <w:r>
              <w:rPr>
                <w:rFonts w:hint="eastAsia" w:ascii="宋体"/>
                <w:sz w:val="18"/>
                <w:szCs w:val="21"/>
              </w:rPr>
              <w:t>4.茯苓成熟后及时采收并清理苓场。</w:t>
            </w:r>
          </w:p>
          <w:p>
            <w:pPr>
              <w:spacing w:line="440" w:lineRule="exact"/>
              <w:rPr>
                <w:rFonts w:hint="eastAsia" w:ascii="宋体"/>
                <w:sz w:val="18"/>
                <w:szCs w:val="21"/>
              </w:rPr>
            </w:pPr>
            <w:r>
              <w:rPr>
                <w:rFonts w:hint="eastAsia" w:ascii="宋体"/>
                <w:sz w:val="18"/>
                <w:szCs w:val="21"/>
              </w:rPr>
              <w:t>5.使用安全低毒低残留的化学农药，用农药要严格遵守安全间隔期。</w:t>
            </w:r>
          </w:p>
        </w:tc>
      </w:tr>
    </w:tbl>
    <w:p>
      <w:pPr>
        <w:spacing w:line="460" w:lineRule="exact"/>
        <w:jc w:val="center"/>
        <w:rPr>
          <w:rFonts w:hint="eastAsia" w:ascii="黑体" w:hAnsi="黑体" w:eastAsia="黑体"/>
          <w:szCs w:val="21"/>
        </w:rPr>
      </w:pPr>
    </w:p>
    <w:p>
      <w:pPr>
        <w:spacing w:line="460" w:lineRule="exact"/>
        <w:jc w:val="center"/>
        <w:rPr>
          <w:rFonts w:hint="eastAsia" w:ascii="黑体" w:hAnsi="黑体" w:eastAsia="黑体"/>
          <w:szCs w:val="21"/>
        </w:rPr>
      </w:pPr>
      <w:r>
        <w:rPr>
          <w:rFonts w:hint="eastAsia" w:ascii="黑体" w:hAnsi="黑体" w:eastAsia="黑体"/>
          <w:szCs w:val="21"/>
        </w:rPr>
        <w:t>————————————</w:t>
      </w:r>
    </w:p>
    <w:p/>
    <w:sectPr>
      <w:type w:val="continuous"/>
      <w:pgSz w:w="11906" w:h="16838"/>
      <w:pgMar w:top="567" w:right="1134" w:bottom="1134" w:left="1418" w:header="1418" w:footer="1134" w:gutter="0"/>
      <w:pgNumType w:start="1"/>
      <w:cols w:space="720" w:num="1"/>
      <w:formProt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">
    <w:panose1 w:val="020B0604020202020204"/>
    <w:charset w:val="00"/>
    <w:family w:val="swiss"/>
    <w:pitch w:val="default"/>
    <w:sig w:usb0="00007A87" w:usb1="80000000" w:usb2="00000008" w:usb3="00000000" w:csb0="400001FF" w:csb1="FFFF0000"/>
  </w:font>
  <w:font w:name="东文宋体">
    <w:altName w:val="方正书宋_GBK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sans-serif">
    <w:altName w:val="华文中宋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0000" w:csb1="00000000"/>
  </w:font>
  <w:font w:name="DejaVu Math TeX Gyre">
    <w:panose1 w:val="02000503000000000000"/>
    <w:charset w:val="00"/>
    <w:family w:val="auto"/>
    <w:pitch w:val="default"/>
    <w:sig w:usb0="A10000EF" w:usb1="4201F9EE" w:usb2="02000000" w:usb3="00000000" w:csb0="60000193" w:csb1="0DD4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6"/>
    </w:pPr>
    <w:r>
      <w:t xml:space="preserve">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FC91163"/>
    <w:multiLevelType w:val="multilevel"/>
    <w:tmpl w:val="1FC91163"/>
    <w:lvl w:ilvl="0" w:tentative="0">
      <w:start w:val="1"/>
      <w:numFmt w:val="decimal"/>
      <w:pStyle w:val="25"/>
      <w:suff w:val="nothing"/>
      <w:lvlText w:val="%1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  <w:szCs w:val="21"/>
      </w:rPr>
    </w:lvl>
    <w:lvl w:ilvl="1" w:tentative="0">
      <w:start w:val="1"/>
      <w:numFmt w:val="decimal"/>
      <w:suff w:val="nothing"/>
      <w:lvlText w:val="%1.%2　"/>
      <w:lvlJc w:val="left"/>
      <w:pPr>
        <w:ind w:left="0" w:firstLine="0"/>
      </w:pPr>
      <w:rPr>
        <w:rFonts w:hint="eastAsia" w:ascii="黑体" w:hAnsi="Times New Roman" w:eastAsia="黑体" w:cs="Times New Roman"/>
        <w:b w:val="0"/>
        <w:bCs w:val="0"/>
        <w:i w:val="0"/>
        <w:iCs w:val="0"/>
        <w:caps w:val="0"/>
        <w:strike w:val="0"/>
        <w:dstrike w:val="0"/>
        <w:vanish w:val="0"/>
        <w:spacing w:val="0"/>
        <w:kern w:val="0"/>
        <w:position w:val="0"/>
        <w:sz w:val="21"/>
        <w:szCs w:val="21"/>
        <w:u w:val="none"/>
        <w:vertAlign w:val="baseline"/>
      </w:rPr>
    </w:lvl>
    <w:lvl w:ilvl="2" w:tentative="0">
      <w:start w:val="1"/>
      <w:numFmt w:val="decimal"/>
      <w:suff w:val="nothing"/>
      <w:lvlText w:val="%1.%2.%3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3" w:tentative="0">
      <w:start w:val="1"/>
      <w:numFmt w:val="decimal"/>
      <w:suff w:val="nothing"/>
      <w:lvlText w:val="%1.%2.%3.%4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4" w:tentative="0">
      <w:start w:val="1"/>
      <w:numFmt w:val="decimal"/>
      <w:suff w:val="nothing"/>
      <w:lvlText w:val="%1.%2.%3.%4.%5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5" w:tentative="0">
      <w:start w:val="1"/>
      <w:numFmt w:val="decimal"/>
      <w:suff w:val="nothing"/>
      <w:lvlText w:val="%1.%2.%3.%4.%5.%6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6" w:tentative="0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bordersDoNotSurroundHeader w:val="true"/>
  <w:bordersDoNotSurroundFooter w:val="true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5DBE6F"/>
    <w:rsid w:val="6DFF1208"/>
    <w:rsid w:val="7975BDE8"/>
    <w:rsid w:val="7F5DBE6F"/>
    <w:rsid w:val="7FDF6392"/>
    <w:rsid w:val="9DA3BE78"/>
    <w:rsid w:val="F7BFDE76"/>
    <w:rsid w:val="F7FA6117"/>
    <w:rsid w:val="FDBF3CBD"/>
    <w:rsid w:val="FFDDD88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Style w:val="2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文献分类号"/>
    <w:qFormat/>
    <w:uiPriority w:val="0"/>
    <w:pPr>
      <w:framePr w:hSpace="180" w:vSpace="180" w:wrap="around" w:vAnchor="margin" w:hAnchor="margin" w:y="1" w:anchorLock="1"/>
      <w:widowControl w:val="0"/>
      <w:textAlignment w:val="center"/>
    </w:pPr>
    <w:rPr>
      <w:rFonts w:ascii="黑体" w:hAnsi="Times New Roman" w:eastAsia="黑体" w:cs="Times New Roman"/>
      <w:sz w:val="21"/>
      <w:szCs w:val="21"/>
      <w:lang w:val="en-US" w:eastAsia="zh-CN" w:bidi="ar-SA"/>
    </w:rPr>
  </w:style>
  <w:style w:type="paragraph" w:customStyle="1" w:styleId="5">
    <w:name w:val="其他标准标志"/>
    <w:basedOn w:val="6"/>
    <w:qFormat/>
    <w:uiPriority w:val="0"/>
    <w:pPr>
      <w:framePr w:w="6101" w:vAnchor="page" w:hAnchor="page" w:x="4673" w:y="942"/>
    </w:pPr>
    <w:rPr>
      <w:w w:val="130"/>
    </w:rPr>
  </w:style>
  <w:style w:type="paragraph" w:customStyle="1" w:styleId="6">
    <w:name w:val="标准标志"/>
    <w:next w:val="1"/>
    <w:qFormat/>
    <w:uiPriority w:val="0"/>
    <w:pPr>
      <w:framePr w:w="2546" w:h="1389" w:hRule="exact" w:hSpace="181" w:vSpace="181" w:wrap="around" w:vAnchor="margin" w:hAnchor="margin" w:x="6522" w:y="398" w:anchorLock="1"/>
      <w:shd w:val="solid" w:color="FFFFFF" w:fill="FFFFFF"/>
      <w:spacing w:line="0" w:lineRule="atLeast"/>
      <w:jc w:val="right"/>
    </w:pPr>
    <w:rPr>
      <w:rFonts w:ascii="Times New Roman" w:hAnsi="Times New Roman" w:eastAsia="宋体" w:cs="Times New Roman"/>
      <w:b/>
      <w:w w:val="170"/>
      <w:sz w:val="96"/>
      <w:szCs w:val="96"/>
      <w:lang w:val="en-US" w:eastAsia="zh-CN" w:bidi="ar-SA"/>
    </w:rPr>
  </w:style>
  <w:style w:type="paragraph" w:customStyle="1" w:styleId="7">
    <w:name w:val="其他标准称谓"/>
    <w:next w:val="1"/>
    <w:qFormat/>
    <w:uiPriority w:val="0"/>
    <w:pPr>
      <w:framePr w:hSpace="181" w:vSpace="181" w:wrap="around" w:vAnchor="page" w:hAnchor="page" w:x="1419" w:y="2286" w:anchorLock="1"/>
      <w:spacing w:line="0" w:lineRule="atLeast"/>
      <w:jc w:val="distribute"/>
    </w:pPr>
    <w:rPr>
      <w:rFonts w:ascii="黑体" w:hAnsi="宋体" w:eastAsia="黑体" w:cs="Times New Roman"/>
      <w:spacing w:val="-40"/>
      <w:sz w:val="48"/>
      <w:szCs w:val="52"/>
      <w:lang w:val="en-US" w:eastAsia="zh-CN" w:bidi="ar-SA"/>
    </w:rPr>
  </w:style>
  <w:style w:type="paragraph" w:customStyle="1" w:styleId="8">
    <w:name w:val="封面标准号2"/>
    <w:qFormat/>
    <w:uiPriority w:val="0"/>
    <w:pPr>
      <w:framePr w:w="9140" w:h="1242" w:hRule="exact" w:hSpace="284" w:wrap="around" w:vAnchor="page" w:hAnchor="page" w:x="1645" w:y="2910" w:anchorLock="1"/>
      <w:spacing w:before="357" w:line="280" w:lineRule="exact"/>
      <w:jc w:val="right"/>
    </w:pPr>
    <w:rPr>
      <w:rFonts w:ascii="黑体" w:hAnsi="Times New Roman" w:eastAsia="黑体" w:cs="Times New Roman"/>
      <w:sz w:val="28"/>
      <w:szCs w:val="28"/>
      <w:lang w:val="en-US" w:eastAsia="zh-CN" w:bidi="ar-SA"/>
    </w:rPr>
  </w:style>
  <w:style w:type="paragraph" w:customStyle="1" w:styleId="9">
    <w:name w:val="封面标准代替信息"/>
    <w:qFormat/>
    <w:uiPriority w:val="0"/>
    <w:pPr>
      <w:framePr w:w="9140" w:h="1242" w:hRule="exact" w:hSpace="284" w:wrap="around" w:vAnchor="page" w:hAnchor="page" w:x="1645" w:y="2910" w:anchorLock="1"/>
      <w:spacing w:before="57" w:line="280" w:lineRule="exact"/>
      <w:jc w:val="right"/>
    </w:pPr>
    <w:rPr>
      <w:rFonts w:ascii="宋体" w:hAnsi="Times New Roman" w:eastAsia="宋体" w:cs="Times New Roman"/>
      <w:sz w:val="21"/>
      <w:szCs w:val="21"/>
      <w:lang w:val="en-US" w:eastAsia="zh-CN" w:bidi="ar-SA"/>
    </w:rPr>
  </w:style>
  <w:style w:type="paragraph" w:customStyle="1" w:styleId="10">
    <w:name w:val="封面标准名称"/>
    <w:qFormat/>
    <w:uiPriority w:val="0"/>
    <w:pPr>
      <w:framePr w:w="9639" w:h="6917" w:hRule="exact" w:wrap="around" w:vAnchor="page" w:hAnchor="page" w:xAlign="center" w:y="6408" w:anchorLock="1"/>
      <w:widowControl w:val="0"/>
      <w:spacing w:line="680" w:lineRule="exact"/>
      <w:jc w:val="center"/>
      <w:textAlignment w:val="center"/>
    </w:pPr>
    <w:rPr>
      <w:rFonts w:ascii="黑体" w:hAnsi="Times New Roman" w:eastAsia="黑体" w:cs="Times New Roman"/>
      <w:sz w:val="52"/>
      <w:lang w:val="en-US" w:eastAsia="zh-CN" w:bidi="ar-SA"/>
    </w:rPr>
  </w:style>
  <w:style w:type="paragraph" w:customStyle="1" w:styleId="11">
    <w:name w:val="封面一致性程度标识"/>
    <w:basedOn w:val="12"/>
    <w:qFormat/>
    <w:uiPriority w:val="0"/>
    <w:pPr>
      <w:spacing w:before="440"/>
    </w:pPr>
    <w:rPr>
      <w:rFonts w:ascii="宋体" w:eastAsia="宋体"/>
    </w:rPr>
  </w:style>
  <w:style w:type="paragraph" w:customStyle="1" w:styleId="12">
    <w:name w:val="封面标准英文名称"/>
    <w:basedOn w:val="10"/>
    <w:qFormat/>
    <w:uiPriority w:val="0"/>
    <w:pPr>
      <w:spacing w:before="370" w:line="400" w:lineRule="exact"/>
    </w:pPr>
    <w:rPr>
      <w:rFonts w:ascii="Times New Roman"/>
      <w:sz w:val="28"/>
      <w:szCs w:val="28"/>
    </w:rPr>
  </w:style>
  <w:style w:type="paragraph" w:customStyle="1" w:styleId="13">
    <w:name w:val="封面标准文稿类别"/>
    <w:basedOn w:val="11"/>
    <w:qFormat/>
    <w:uiPriority w:val="0"/>
    <w:pPr>
      <w:spacing w:after="160" w:line="240" w:lineRule="auto"/>
    </w:pPr>
    <w:rPr>
      <w:sz w:val="24"/>
    </w:rPr>
  </w:style>
  <w:style w:type="paragraph" w:customStyle="1" w:styleId="14">
    <w:name w:val="封面标准文稿编辑信息"/>
    <w:basedOn w:val="13"/>
    <w:qFormat/>
    <w:uiPriority w:val="0"/>
    <w:pPr>
      <w:spacing w:before="180" w:line="180" w:lineRule="exact"/>
    </w:pPr>
    <w:rPr>
      <w:sz w:val="21"/>
    </w:rPr>
  </w:style>
  <w:style w:type="paragraph" w:customStyle="1" w:styleId="15">
    <w:name w:val="其他发布日期"/>
    <w:basedOn w:val="16"/>
    <w:qFormat/>
    <w:uiPriority w:val="0"/>
    <w:pPr>
      <w:framePr w:vAnchor="page" w:hAnchor="page" w:x="1419"/>
    </w:pPr>
  </w:style>
  <w:style w:type="paragraph" w:customStyle="1" w:styleId="16">
    <w:name w:val="发布日期"/>
    <w:qFormat/>
    <w:uiPriority w:val="0"/>
    <w:pPr>
      <w:framePr w:w="3997" w:h="471" w:hRule="exact" w:vSpace="181" w:wrap="around" w:vAnchor="margin" w:hAnchor="page" w:x="7089" w:y="14097" w:anchorLock="1"/>
    </w:pPr>
    <w:rPr>
      <w:rFonts w:ascii="Times New Roman" w:hAnsi="Times New Roman" w:eastAsia="黑体" w:cs="Times New Roman"/>
      <w:sz w:val="28"/>
      <w:lang w:val="en-US" w:eastAsia="zh-CN" w:bidi="ar-SA"/>
    </w:rPr>
  </w:style>
  <w:style w:type="paragraph" w:customStyle="1" w:styleId="17">
    <w:name w:val="其他实施日期"/>
    <w:basedOn w:val="18"/>
    <w:qFormat/>
    <w:uiPriority w:val="0"/>
  </w:style>
  <w:style w:type="paragraph" w:customStyle="1" w:styleId="18">
    <w:name w:val="实施日期"/>
    <w:basedOn w:val="16"/>
    <w:qFormat/>
    <w:uiPriority w:val="0"/>
    <w:pPr>
      <w:framePr w:vAnchor="page" w:hAnchor="page"/>
      <w:jc w:val="right"/>
    </w:pPr>
  </w:style>
  <w:style w:type="paragraph" w:customStyle="1" w:styleId="19">
    <w:name w:val="其他发布部门"/>
    <w:basedOn w:val="20"/>
    <w:qFormat/>
    <w:uiPriority w:val="0"/>
    <w:pPr>
      <w:framePr w:y="15310"/>
      <w:spacing w:line="0" w:lineRule="atLeast"/>
    </w:pPr>
    <w:rPr>
      <w:rFonts w:ascii="黑体" w:eastAsia="黑体"/>
      <w:b w:val="0"/>
    </w:rPr>
  </w:style>
  <w:style w:type="paragraph" w:customStyle="1" w:styleId="20">
    <w:name w:val="发布部门"/>
    <w:next w:val="21"/>
    <w:qFormat/>
    <w:uiPriority w:val="0"/>
    <w:pPr>
      <w:framePr w:w="7938" w:h="1134" w:hRule="exact" w:hSpace="125" w:vSpace="181" w:wrap="around" w:vAnchor="page" w:hAnchor="page" w:x="2150" w:y="14630" w:anchorLock="1"/>
      <w:jc w:val="center"/>
    </w:pPr>
    <w:rPr>
      <w:rFonts w:ascii="宋体" w:hAnsi="Times New Roman" w:eastAsia="宋体" w:cs="Times New Roman"/>
      <w:b/>
      <w:spacing w:val="20"/>
      <w:w w:val="135"/>
      <w:sz w:val="28"/>
      <w:lang w:val="en-US" w:eastAsia="zh-CN" w:bidi="ar-SA"/>
    </w:rPr>
  </w:style>
  <w:style w:type="paragraph" w:customStyle="1" w:styleId="21">
    <w:name w:val="段"/>
    <w:qFormat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character" w:customStyle="1" w:styleId="22">
    <w:name w:val="发布"/>
    <w:qFormat/>
    <w:uiPriority w:val="0"/>
    <w:rPr>
      <w:rFonts w:ascii="黑体" w:eastAsia="黑体"/>
      <w:spacing w:val="85"/>
      <w:w w:val="100"/>
      <w:position w:val="3"/>
      <w:sz w:val="28"/>
      <w:szCs w:val="28"/>
    </w:rPr>
  </w:style>
  <w:style w:type="paragraph" w:customStyle="1" w:styleId="23">
    <w:name w:val="前言、引言标题"/>
    <w:next w:val="21"/>
    <w:qFormat/>
    <w:uiPriority w:val="0"/>
    <w:pPr>
      <w:keepNext/>
      <w:pageBreakBefore/>
      <w:shd w:val="clear" w:color="FFFFFF" w:fill="FFFFFF"/>
      <w:spacing w:before="640" w:after="560"/>
      <w:jc w:val="center"/>
      <w:outlineLvl w:val="0"/>
    </w:pPr>
    <w:rPr>
      <w:rFonts w:ascii="黑体" w:hAnsi="Times New Roman" w:eastAsia="黑体" w:cs="Times New Roman"/>
      <w:sz w:val="32"/>
      <w:lang w:val="en-US" w:eastAsia="zh-CN" w:bidi="ar-SA"/>
    </w:rPr>
  </w:style>
  <w:style w:type="paragraph" w:customStyle="1" w:styleId="24">
    <w:name w:val="目次、标准名称标题"/>
    <w:basedOn w:val="1"/>
    <w:next w:val="21"/>
    <w:qFormat/>
    <w:uiPriority w:val="0"/>
    <w:pPr>
      <w:keepNext/>
      <w:pageBreakBefore/>
      <w:widowControl/>
      <w:shd w:val="clear" w:color="FFFFFF" w:fill="FFFFFF"/>
      <w:spacing w:before="640" w:after="560" w:line="460" w:lineRule="exact"/>
      <w:jc w:val="center"/>
      <w:outlineLvl w:val="0"/>
    </w:pPr>
    <w:rPr>
      <w:rFonts w:ascii="黑体" w:eastAsia="黑体"/>
      <w:kern w:val="0"/>
      <w:sz w:val="32"/>
      <w:szCs w:val="20"/>
    </w:rPr>
  </w:style>
  <w:style w:type="paragraph" w:customStyle="1" w:styleId="25">
    <w:name w:val="章标题"/>
    <w:next w:val="21"/>
    <w:qFormat/>
    <w:uiPriority w:val="0"/>
    <w:pPr>
      <w:numPr>
        <w:ilvl w:val="0"/>
        <w:numId w:val="1"/>
      </w:numPr>
      <w:spacing w:before="312" w:beforeLines="100" w:after="312" w:afterLines="100"/>
      <w:jc w:val="both"/>
      <w:outlineLvl w:val="1"/>
    </w:pPr>
    <w:rPr>
      <w:rFonts w:ascii="黑体" w:hAnsi="Times New Roman" w:eastAsia="黑体" w:cs="Times New Roman"/>
      <w:sz w:val="21"/>
      <w:lang w:val="en-US" w:eastAsia="zh-CN" w:bidi="ar-SA"/>
    </w:rPr>
  </w:style>
  <w:style w:type="paragraph" w:customStyle="1" w:styleId="26">
    <w:name w:val="标准书眉_奇数页"/>
    <w:next w:val="1"/>
    <w:qFormat/>
    <w:uiPriority w:val="0"/>
    <w:pPr>
      <w:tabs>
        <w:tab w:val="center" w:pos="4154"/>
        <w:tab w:val="right" w:pos="8306"/>
      </w:tabs>
      <w:spacing w:after="220"/>
      <w:jc w:val="right"/>
    </w:pPr>
    <w:rPr>
      <w:rFonts w:ascii="黑体" w:hAnsi="Times New Roman" w:eastAsia="黑体" w:cs="Times New Roman"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10.6666666666667</TotalTime>
  <ScaleCrop>false</ScaleCrop>
  <LinksUpToDate>false</LinksUpToDate>
  <CharactersWithSpaces>0</CharactersWithSpaces>
  <Application>WPS Office_11.8.2.9980_F1E327BC-269C-435d-A152-05C5408002CA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2022-07-12T11:40:00Z</dcterms:created>
  <dc:creator>user</dc:creator>
  <cp:lastModifiedBy>user</cp:lastModifiedBy>
  <dcterms:modified xsi:type="dcterms:W3CDTF">2022-07-18T09:35:41Z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2052-11.8.2.9980</vt:lpwstr>
  </property>
</Properties>
</file>